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1E" w:rsidRPr="003F5636" w:rsidRDefault="001A5C3E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1A5C3E">
        <w:rPr>
          <w:rFonts w:asciiTheme="minorHAnsi" w:hAnsiTheme="minorHAnsi" w:cs="Arial"/>
          <w:b/>
          <w:sz w:val="28"/>
          <w:szCs w:val="24"/>
        </w:rPr>
        <w:t xml:space="preserve"> </w:t>
      </w:r>
      <w:r w:rsidR="00E92834" w:rsidRPr="003F5636">
        <w:rPr>
          <w:rFonts w:asciiTheme="minorHAnsi" w:hAnsiTheme="minorHAnsi" w:cs="Arial"/>
          <w:b/>
          <w:sz w:val="28"/>
          <w:szCs w:val="24"/>
        </w:rPr>
        <w:t xml:space="preserve">Repps with Bastwick Minutes of </w:t>
      </w:r>
      <w:r w:rsidR="008B35A3" w:rsidRPr="003F5636">
        <w:rPr>
          <w:rFonts w:asciiTheme="minorHAnsi" w:hAnsiTheme="minorHAnsi" w:cs="Arial"/>
          <w:b/>
          <w:sz w:val="28"/>
          <w:szCs w:val="24"/>
        </w:rPr>
        <w:t xml:space="preserve">the </w:t>
      </w:r>
      <w:r w:rsidR="00C978B8" w:rsidRPr="003F5636">
        <w:rPr>
          <w:rFonts w:asciiTheme="minorHAnsi" w:hAnsiTheme="minorHAnsi" w:cs="Arial"/>
          <w:b/>
          <w:sz w:val="28"/>
          <w:szCs w:val="24"/>
        </w:rPr>
        <w:t xml:space="preserve">Annual </w:t>
      </w:r>
      <w:r w:rsidR="00E92834" w:rsidRPr="003F5636">
        <w:rPr>
          <w:rFonts w:asciiTheme="minorHAnsi" w:hAnsiTheme="minorHAnsi" w:cs="Arial"/>
          <w:b/>
          <w:sz w:val="28"/>
          <w:szCs w:val="24"/>
        </w:rPr>
        <w:t>Parish Council Meeting</w:t>
      </w:r>
      <w:r w:rsidR="00111A08" w:rsidRPr="003F5636">
        <w:rPr>
          <w:rFonts w:asciiTheme="minorHAnsi" w:hAnsiTheme="minorHAnsi" w:cs="Arial"/>
          <w:b/>
          <w:sz w:val="28"/>
          <w:szCs w:val="24"/>
        </w:rPr>
        <w:t xml:space="preserve"> </w:t>
      </w:r>
    </w:p>
    <w:p w:rsidR="00E92834" w:rsidRPr="003F5636" w:rsidRDefault="00E92834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proofErr w:type="gramStart"/>
      <w:r w:rsidRPr="003F5636">
        <w:rPr>
          <w:rFonts w:asciiTheme="minorHAnsi" w:hAnsiTheme="minorHAnsi" w:cs="Arial"/>
          <w:b/>
          <w:sz w:val="28"/>
          <w:szCs w:val="24"/>
        </w:rPr>
        <w:t>held</w:t>
      </w:r>
      <w:proofErr w:type="gramEnd"/>
      <w:r w:rsidRPr="003F5636">
        <w:rPr>
          <w:rFonts w:asciiTheme="minorHAnsi" w:hAnsiTheme="minorHAnsi" w:cs="Arial"/>
          <w:b/>
          <w:sz w:val="28"/>
          <w:szCs w:val="24"/>
        </w:rPr>
        <w:t xml:space="preserve"> on </w:t>
      </w:r>
      <w:r w:rsidR="00C978B8" w:rsidRPr="003F5636">
        <w:rPr>
          <w:rFonts w:asciiTheme="minorHAnsi" w:hAnsiTheme="minorHAnsi" w:cs="Arial"/>
          <w:b/>
          <w:sz w:val="28"/>
          <w:szCs w:val="24"/>
        </w:rPr>
        <w:t>7</w:t>
      </w:r>
      <w:r w:rsidR="00C978B8" w:rsidRPr="003F5636">
        <w:rPr>
          <w:rFonts w:asciiTheme="minorHAnsi" w:hAnsiTheme="minorHAnsi" w:cs="Arial"/>
          <w:b/>
          <w:sz w:val="28"/>
          <w:szCs w:val="24"/>
          <w:vertAlign w:val="superscript"/>
        </w:rPr>
        <w:t>th</w:t>
      </w:r>
      <w:r w:rsidR="00C978B8" w:rsidRPr="003F5636">
        <w:rPr>
          <w:rFonts w:asciiTheme="minorHAnsi" w:hAnsiTheme="minorHAnsi" w:cs="Arial"/>
          <w:b/>
          <w:sz w:val="28"/>
          <w:szCs w:val="24"/>
        </w:rPr>
        <w:t xml:space="preserve"> May</w:t>
      </w:r>
      <w:r w:rsidR="00B57E36" w:rsidRPr="003F5636">
        <w:rPr>
          <w:rFonts w:asciiTheme="minorHAnsi" w:hAnsiTheme="minorHAnsi" w:cs="Arial"/>
          <w:b/>
          <w:sz w:val="28"/>
          <w:szCs w:val="24"/>
        </w:rPr>
        <w:t xml:space="preserve"> </w:t>
      </w:r>
      <w:r w:rsidRPr="003F5636">
        <w:rPr>
          <w:rFonts w:asciiTheme="minorHAnsi" w:hAnsiTheme="minorHAnsi" w:cs="Arial"/>
          <w:b/>
          <w:sz w:val="28"/>
          <w:szCs w:val="24"/>
        </w:rPr>
        <w:t>201</w:t>
      </w:r>
      <w:r w:rsidR="001C5F02" w:rsidRPr="003F5636">
        <w:rPr>
          <w:rFonts w:asciiTheme="minorHAnsi" w:hAnsiTheme="minorHAnsi" w:cs="Arial"/>
          <w:b/>
          <w:sz w:val="28"/>
          <w:szCs w:val="24"/>
        </w:rPr>
        <w:t>9</w:t>
      </w:r>
      <w:r w:rsidR="008B35A3" w:rsidRPr="003F5636">
        <w:rPr>
          <w:rFonts w:asciiTheme="minorHAnsi" w:hAnsiTheme="minorHAnsi" w:cs="Arial"/>
          <w:b/>
          <w:sz w:val="28"/>
          <w:szCs w:val="24"/>
        </w:rPr>
        <w:t xml:space="preserve"> at the </w:t>
      </w:r>
      <w:r w:rsidRPr="003F5636">
        <w:rPr>
          <w:rFonts w:asciiTheme="minorHAnsi" w:hAnsiTheme="minorHAnsi" w:cs="Arial"/>
          <w:b/>
          <w:sz w:val="28"/>
          <w:szCs w:val="24"/>
        </w:rPr>
        <w:t>Village Hall at 8pm</w:t>
      </w:r>
    </w:p>
    <w:p w:rsidR="00E92834" w:rsidRPr="003F5636" w:rsidRDefault="00E92834" w:rsidP="00085DA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E92834" w:rsidRPr="003F5636" w:rsidRDefault="00E92834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b/>
          <w:snapToGrid w:val="0"/>
          <w:sz w:val="24"/>
          <w:szCs w:val="24"/>
        </w:rPr>
        <w:t>In attendance:</w:t>
      </w:r>
      <w:r w:rsidRPr="003F5636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="008B35A3" w:rsidRPr="003F5636">
        <w:rPr>
          <w:rFonts w:asciiTheme="minorHAnsi" w:hAnsiTheme="minorHAnsi" w:cs="Arial"/>
          <w:snapToGrid w:val="0"/>
          <w:sz w:val="24"/>
          <w:szCs w:val="24"/>
        </w:rPr>
        <w:t>Cllrs:</w:t>
      </w:r>
      <w:r w:rsidR="00E2418D" w:rsidRPr="003F5636">
        <w:rPr>
          <w:rFonts w:asciiTheme="minorHAnsi" w:hAnsiTheme="minorHAnsi" w:cs="Arial"/>
          <w:snapToGrid w:val="0"/>
          <w:sz w:val="24"/>
          <w:szCs w:val="24"/>
        </w:rPr>
        <w:t xml:space="preserve"> Alison McTaggart</w:t>
      </w:r>
      <w:r w:rsidR="00DB5E3E" w:rsidRPr="003F563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C978B8" w:rsidRPr="003F5636">
        <w:rPr>
          <w:rFonts w:asciiTheme="minorHAnsi" w:hAnsiTheme="minorHAnsi" w:cs="Arial"/>
          <w:snapToGrid w:val="0"/>
          <w:sz w:val="24"/>
          <w:szCs w:val="24"/>
        </w:rPr>
        <w:t>(</w:t>
      </w:r>
      <w:r w:rsidR="00DB5E3E" w:rsidRPr="003F5636">
        <w:rPr>
          <w:rFonts w:asciiTheme="minorHAnsi" w:hAnsiTheme="minorHAnsi" w:cs="Arial"/>
          <w:snapToGrid w:val="0"/>
          <w:sz w:val="24"/>
          <w:szCs w:val="24"/>
        </w:rPr>
        <w:t xml:space="preserve">acting </w:t>
      </w:r>
      <w:r w:rsidR="00C978B8" w:rsidRPr="003F5636">
        <w:rPr>
          <w:rFonts w:asciiTheme="minorHAnsi" w:hAnsiTheme="minorHAnsi" w:cs="Arial"/>
          <w:snapToGrid w:val="0"/>
          <w:sz w:val="24"/>
          <w:szCs w:val="24"/>
        </w:rPr>
        <w:t>Chair), Christopher Wallace</w:t>
      </w:r>
      <w:r w:rsidR="00E2418D" w:rsidRPr="003F5636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4E2327" w:rsidRPr="003F5636">
        <w:rPr>
          <w:rFonts w:asciiTheme="minorHAnsi" w:hAnsiTheme="minorHAnsi" w:cs="Arial"/>
          <w:sz w:val="24"/>
          <w:szCs w:val="24"/>
        </w:rPr>
        <w:t>Andrew Wright</w:t>
      </w:r>
      <w:r w:rsidR="00E2418D" w:rsidRPr="003F5636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7E5742" w:rsidRPr="003F5636">
        <w:rPr>
          <w:rFonts w:asciiTheme="minorHAnsi" w:hAnsiTheme="minorHAnsi" w:cs="Arial"/>
          <w:sz w:val="24"/>
          <w:szCs w:val="24"/>
        </w:rPr>
        <w:t>Carol Willett, George Willett,</w:t>
      </w:r>
      <w:r w:rsidR="00EA1990" w:rsidRPr="003F563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215074" w:rsidRPr="003F5636">
        <w:rPr>
          <w:rFonts w:asciiTheme="minorHAnsi" w:hAnsiTheme="minorHAnsi" w:cs="Arial"/>
          <w:snapToGrid w:val="0"/>
          <w:sz w:val="24"/>
          <w:szCs w:val="24"/>
        </w:rPr>
        <w:t>Tom Ellis ,</w:t>
      </w:r>
      <w:r w:rsidR="00083472" w:rsidRPr="003F5636">
        <w:rPr>
          <w:rFonts w:asciiTheme="minorHAnsi" w:hAnsiTheme="minorHAnsi" w:cs="Arial"/>
          <w:snapToGrid w:val="0"/>
          <w:sz w:val="24"/>
          <w:szCs w:val="24"/>
        </w:rPr>
        <w:t>Claudia</w:t>
      </w:r>
      <w:r w:rsidR="00DE687A" w:rsidRPr="003F5636">
        <w:rPr>
          <w:rFonts w:asciiTheme="minorHAnsi" w:hAnsiTheme="minorHAnsi" w:cs="Arial"/>
          <w:snapToGrid w:val="0"/>
          <w:sz w:val="24"/>
          <w:szCs w:val="24"/>
        </w:rPr>
        <w:t xml:space="preserve"> Dickson</w:t>
      </w:r>
      <w:r w:rsidR="00083472" w:rsidRPr="003F563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3F5636">
        <w:rPr>
          <w:rFonts w:asciiTheme="minorHAnsi" w:hAnsiTheme="minorHAnsi" w:cs="Arial"/>
          <w:snapToGrid w:val="0"/>
          <w:sz w:val="24"/>
          <w:szCs w:val="24"/>
        </w:rPr>
        <w:t>(Clerk)</w:t>
      </w:r>
      <w:r w:rsidR="00F406CD" w:rsidRPr="003F5636">
        <w:rPr>
          <w:rFonts w:asciiTheme="minorHAnsi" w:hAnsiTheme="minorHAnsi" w:cs="Arial"/>
          <w:snapToGrid w:val="0"/>
          <w:sz w:val="24"/>
          <w:szCs w:val="24"/>
        </w:rPr>
        <w:t>, and</w:t>
      </w:r>
      <w:r w:rsidR="00A0090A" w:rsidRPr="003F563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A0090A" w:rsidRPr="003F5636">
        <w:rPr>
          <w:rFonts w:asciiTheme="minorHAnsi" w:hAnsiTheme="minorHAnsi" w:cs="Arial"/>
          <w:sz w:val="24"/>
          <w:szCs w:val="24"/>
        </w:rPr>
        <w:t>CCllr H</w:t>
      </w:r>
      <w:r w:rsidR="00F406CD" w:rsidRPr="003F5636">
        <w:rPr>
          <w:rFonts w:asciiTheme="minorHAnsi" w:hAnsiTheme="minorHAnsi" w:cs="Arial"/>
          <w:sz w:val="24"/>
          <w:szCs w:val="24"/>
        </w:rPr>
        <w:t>aydn</w:t>
      </w:r>
      <w:r w:rsidR="00A0090A" w:rsidRPr="003F5636">
        <w:rPr>
          <w:rFonts w:asciiTheme="minorHAnsi" w:hAnsiTheme="minorHAnsi" w:cs="Arial"/>
          <w:sz w:val="24"/>
          <w:szCs w:val="24"/>
        </w:rPr>
        <w:t xml:space="preserve"> Thirtle</w:t>
      </w:r>
    </w:p>
    <w:p w:rsidR="003D2513" w:rsidRPr="003F5636" w:rsidRDefault="003D2513" w:rsidP="00085DA6">
      <w:pPr>
        <w:ind w:left="630"/>
        <w:rPr>
          <w:rFonts w:asciiTheme="minorHAnsi" w:hAnsiTheme="minorHAnsi" w:cs="Arial"/>
          <w:sz w:val="24"/>
          <w:szCs w:val="24"/>
        </w:rPr>
      </w:pPr>
    </w:p>
    <w:p w:rsidR="00C978B8" w:rsidRPr="003F5636" w:rsidRDefault="00C978B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Election of Chair and Vice-Chair</w:t>
      </w:r>
    </w:p>
    <w:p w:rsidR="00255985" w:rsidRPr="003F5636" w:rsidRDefault="00255985" w:rsidP="00255985">
      <w:pPr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Fred Sharman was nominated and unanimously elected Chairman of the Parish Council for the next year.</w:t>
      </w:r>
    </w:p>
    <w:p w:rsidR="00255985" w:rsidRPr="003F5636" w:rsidRDefault="00255985" w:rsidP="00255985">
      <w:pPr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 xml:space="preserve">Carol Willett was nominated </w:t>
      </w:r>
      <w:r w:rsidR="00DB5E3E" w:rsidRPr="003F5636">
        <w:rPr>
          <w:rFonts w:asciiTheme="minorHAnsi" w:hAnsiTheme="minorHAnsi" w:cs="Arial"/>
          <w:sz w:val="24"/>
          <w:szCs w:val="24"/>
        </w:rPr>
        <w:t>and unanimously elected Vice-Chair of the Parish Council for the next year.</w:t>
      </w:r>
    </w:p>
    <w:p w:rsidR="00DB5E3E" w:rsidRPr="003F5636" w:rsidRDefault="00DB5E3E" w:rsidP="00255985">
      <w:pPr>
        <w:ind w:left="630"/>
        <w:rPr>
          <w:rFonts w:asciiTheme="minorHAnsi" w:hAnsiTheme="minorHAnsi" w:cs="Arial"/>
          <w:sz w:val="24"/>
          <w:szCs w:val="24"/>
        </w:rPr>
      </w:pPr>
    </w:p>
    <w:p w:rsidR="00C978B8" w:rsidRPr="003F5636" w:rsidRDefault="00C978B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Declarations of Acceptance of Office</w:t>
      </w:r>
    </w:p>
    <w:p w:rsidR="00DB5E3E" w:rsidRPr="003F5636" w:rsidRDefault="00DB5E3E" w:rsidP="00DB5E3E">
      <w:pPr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Due to the absence of Cllr Sharman the Clerk will deliver the Acceptance of Office to him during the month.</w:t>
      </w:r>
    </w:p>
    <w:p w:rsidR="00DB5E3E" w:rsidRPr="003F5636" w:rsidRDefault="00DB5E3E" w:rsidP="00DB5E3E">
      <w:pPr>
        <w:ind w:left="630"/>
        <w:rPr>
          <w:rFonts w:asciiTheme="minorHAnsi" w:hAnsiTheme="minorHAnsi" w:cs="Arial"/>
          <w:sz w:val="24"/>
          <w:szCs w:val="24"/>
        </w:rPr>
      </w:pPr>
    </w:p>
    <w:p w:rsidR="00C978B8" w:rsidRPr="003F5636" w:rsidRDefault="00C978B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Election of the Responsible Financial Officer</w:t>
      </w:r>
    </w:p>
    <w:p w:rsidR="00DB5E3E" w:rsidRPr="003F5636" w:rsidRDefault="00DB5E3E" w:rsidP="00DB5E3E">
      <w:pPr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The Clerk was nominated as Responsible Financial Officer and this was unanimously agreed by the Council.</w:t>
      </w:r>
    </w:p>
    <w:p w:rsidR="00DB5E3E" w:rsidRPr="003F5636" w:rsidRDefault="00DB5E3E" w:rsidP="00DB5E3E">
      <w:pPr>
        <w:ind w:left="630"/>
        <w:rPr>
          <w:rFonts w:asciiTheme="minorHAnsi" w:hAnsiTheme="minorHAnsi" w:cs="Arial"/>
          <w:sz w:val="24"/>
          <w:szCs w:val="24"/>
        </w:rPr>
      </w:pPr>
    </w:p>
    <w:p w:rsidR="00C978B8" w:rsidRPr="003F5636" w:rsidRDefault="00C978B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Review of Register of Interest</w:t>
      </w:r>
    </w:p>
    <w:p w:rsidR="00DB5E3E" w:rsidRPr="003F5636" w:rsidRDefault="00DB5E3E" w:rsidP="00DB5E3E">
      <w:pPr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There were no amendments.</w:t>
      </w:r>
    </w:p>
    <w:p w:rsidR="00DB5E3E" w:rsidRPr="003F5636" w:rsidRDefault="00DB5E3E" w:rsidP="00DB5E3E">
      <w:pPr>
        <w:ind w:left="630"/>
        <w:rPr>
          <w:rFonts w:asciiTheme="minorHAnsi" w:hAnsiTheme="minorHAnsi" w:cs="Arial"/>
          <w:sz w:val="24"/>
          <w:szCs w:val="24"/>
        </w:rPr>
      </w:pPr>
    </w:p>
    <w:p w:rsidR="003252A8" w:rsidRPr="003F5636" w:rsidRDefault="003252A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Apologies for Absence</w:t>
      </w:r>
    </w:p>
    <w:p w:rsidR="003252A8" w:rsidRPr="003F5636" w:rsidRDefault="005906BE" w:rsidP="003252A8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C978B8" w:rsidRPr="003F5636">
        <w:rPr>
          <w:rFonts w:asciiTheme="minorHAnsi" w:hAnsiTheme="minorHAnsi" w:cs="Arial"/>
          <w:snapToGrid w:val="0"/>
          <w:sz w:val="24"/>
          <w:szCs w:val="24"/>
        </w:rPr>
        <w:t xml:space="preserve">Fred </w:t>
      </w:r>
      <w:proofErr w:type="gramStart"/>
      <w:r w:rsidR="00C978B8" w:rsidRPr="003F5636">
        <w:rPr>
          <w:rFonts w:asciiTheme="minorHAnsi" w:hAnsiTheme="minorHAnsi" w:cs="Arial"/>
          <w:snapToGrid w:val="0"/>
          <w:sz w:val="24"/>
          <w:szCs w:val="24"/>
        </w:rPr>
        <w:t>Sharman ,</w:t>
      </w:r>
      <w:proofErr w:type="gramEnd"/>
      <w:r w:rsidR="00C978B8" w:rsidRPr="003F563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3F5636">
        <w:rPr>
          <w:rFonts w:asciiTheme="minorHAnsi" w:hAnsiTheme="minorHAnsi" w:cs="Arial"/>
          <w:snapToGrid w:val="0"/>
          <w:sz w:val="24"/>
          <w:szCs w:val="24"/>
        </w:rPr>
        <w:t xml:space="preserve">BCllr </w:t>
      </w:r>
      <w:r w:rsidR="00C978B8" w:rsidRPr="003F5636">
        <w:rPr>
          <w:rFonts w:asciiTheme="minorHAnsi" w:hAnsiTheme="minorHAnsi" w:cs="Arial"/>
          <w:snapToGrid w:val="0"/>
          <w:sz w:val="24"/>
          <w:szCs w:val="24"/>
        </w:rPr>
        <w:t>Andy Grant</w:t>
      </w:r>
      <w:r w:rsidRPr="003F5636">
        <w:rPr>
          <w:rFonts w:asciiTheme="minorHAnsi" w:hAnsiTheme="minorHAnsi" w:cs="Arial"/>
          <w:sz w:val="24"/>
          <w:szCs w:val="24"/>
        </w:rPr>
        <w:t>, PC Gary May.</w:t>
      </w:r>
    </w:p>
    <w:p w:rsidR="00A82036" w:rsidRPr="003F5636" w:rsidRDefault="00A82036" w:rsidP="003252A8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Cllr Ellis had advised he would be late arriving.</w:t>
      </w:r>
    </w:p>
    <w:p w:rsidR="003252A8" w:rsidRPr="003F5636" w:rsidRDefault="003252A8" w:rsidP="003252A8">
      <w:pPr>
        <w:ind w:left="630"/>
        <w:rPr>
          <w:rFonts w:asciiTheme="minorHAnsi" w:hAnsiTheme="minorHAnsi" w:cs="Arial"/>
          <w:b/>
          <w:sz w:val="24"/>
          <w:szCs w:val="24"/>
        </w:rPr>
      </w:pPr>
    </w:p>
    <w:p w:rsidR="00E92834" w:rsidRPr="003F5636" w:rsidRDefault="00E92834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D</w:t>
      </w:r>
      <w:r w:rsidR="00383C0F" w:rsidRPr="003F5636">
        <w:rPr>
          <w:rFonts w:asciiTheme="minorHAnsi" w:hAnsiTheme="minorHAnsi" w:cs="Arial"/>
          <w:b/>
          <w:sz w:val="24"/>
          <w:szCs w:val="24"/>
        </w:rPr>
        <w:t>eclarations of</w:t>
      </w:r>
      <w:r w:rsidRPr="003F5636">
        <w:rPr>
          <w:rFonts w:asciiTheme="minorHAnsi" w:hAnsiTheme="minorHAnsi" w:cs="Arial"/>
          <w:b/>
          <w:sz w:val="24"/>
          <w:szCs w:val="24"/>
        </w:rPr>
        <w:t xml:space="preserve"> I</w:t>
      </w:r>
      <w:r w:rsidR="00383C0F" w:rsidRPr="003F5636">
        <w:rPr>
          <w:rFonts w:asciiTheme="minorHAnsi" w:hAnsiTheme="minorHAnsi" w:cs="Arial"/>
          <w:b/>
          <w:sz w:val="24"/>
          <w:szCs w:val="24"/>
        </w:rPr>
        <w:t>nterest</w:t>
      </w:r>
      <w:r w:rsidRPr="003F5636">
        <w:rPr>
          <w:rFonts w:asciiTheme="minorHAnsi" w:hAnsiTheme="minorHAnsi" w:cs="Arial"/>
          <w:b/>
          <w:sz w:val="24"/>
          <w:szCs w:val="24"/>
        </w:rPr>
        <w:t xml:space="preserve"> </w:t>
      </w:r>
      <w:r w:rsidR="00383C0F" w:rsidRPr="003F5636">
        <w:rPr>
          <w:rFonts w:asciiTheme="minorHAnsi" w:hAnsiTheme="minorHAnsi" w:cs="Arial"/>
          <w:b/>
          <w:sz w:val="24"/>
          <w:szCs w:val="24"/>
        </w:rPr>
        <w:t>in</w:t>
      </w:r>
      <w:r w:rsidRPr="003F5636">
        <w:rPr>
          <w:rFonts w:asciiTheme="minorHAnsi" w:hAnsiTheme="minorHAnsi" w:cs="Arial"/>
          <w:b/>
          <w:sz w:val="24"/>
          <w:szCs w:val="24"/>
        </w:rPr>
        <w:t xml:space="preserve"> R</w:t>
      </w:r>
      <w:r w:rsidR="00383C0F" w:rsidRPr="003F5636">
        <w:rPr>
          <w:rFonts w:asciiTheme="minorHAnsi" w:hAnsiTheme="minorHAnsi" w:cs="Arial"/>
          <w:b/>
          <w:sz w:val="24"/>
          <w:szCs w:val="24"/>
        </w:rPr>
        <w:t xml:space="preserve">espect of the </w:t>
      </w:r>
      <w:r w:rsidRPr="003F5636">
        <w:rPr>
          <w:rFonts w:asciiTheme="minorHAnsi" w:hAnsiTheme="minorHAnsi" w:cs="Arial"/>
          <w:b/>
          <w:sz w:val="24"/>
          <w:szCs w:val="24"/>
        </w:rPr>
        <w:t>C</w:t>
      </w:r>
      <w:r w:rsidR="00383C0F" w:rsidRPr="003F5636">
        <w:rPr>
          <w:rFonts w:asciiTheme="minorHAnsi" w:hAnsiTheme="minorHAnsi" w:cs="Arial"/>
          <w:b/>
          <w:sz w:val="24"/>
          <w:szCs w:val="24"/>
        </w:rPr>
        <w:t>urrent</w:t>
      </w:r>
      <w:r w:rsidRPr="003F5636">
        <w:rPr>
          <w:rFonts w:asciiTheme="minorHAnsi" w:hAnsiTheme="minorHAnsi" w:cs="Arial"/>
          <w:b/>
          <w:sz w:val="24"/>
          <w:szCs w:val="24"/>
        </w:rPr>
        <w:t xml:space="preserve"> A</w:t>
      </w:r>
      <w:r w:rsidR="00383C0F" w:rsidRPr="003F5636">
        <w:rPr>
          <w:rFonts w:asciiTheme="minorHAnsi" w:hAnsiTheme="minorHAnsi" w:cs="Arial"/>
          <w:b/>
          <w:sz w:val="24"/>
          <w:szCs w:val="24"/>
        </w:rPr>
        <w:t>genda</w:t>
      </w:r>
    </w:p>
    <w:p w:rsidR="00E92834" w:rsidRPr="003F5636" w:rsidRDefault="00BC2C3D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None received</w:t>
      </w:r>
      <w:r w:rsidR="00E2418D" w:rsidRPr="003F5636">
        <w:rPr>
          <w:rFonts w:asciiTheme="minorHAnsi" w:hAnsiTheme="minorHAnsi" w:cs="Arial"/>
          <w:sz w:val="24"/>
          <w:szCs w:val="24"/>
        </w:rPr>
        <w:t>.</w:t>
      </w:r>
    </w:p>
    <w:p w:rsidR="00E92834" w:rsidRPr="003F5636" w:rsidRDefault="00E92834" w:rsidP="00085DA6">
      <w:pPr>
        <w:rPr>
          <w:rFonts w:asciiTheme="minorHAnsi" w:hAnsiTheme="minorHAnsi" w:cs="Arial"/>
          <w:sz w:val="24"/>
          <w:szCs w:val="24"/>
        </w:rPr>
      </w:pPr>
    </w:p>
    <w:p w:rsidR="0005526F" w:rsidRPr="003F5636" w:rsidRDefault="00383C0F" w:rsidP="00085DA6">
      <w:pPr>
        <w:numPr>
          <w:ilvl w:val="0"/>
          <w:numId w:val="1"/>
        </w:numPr>
        <w:tabs>
          <w:tab w:val="clear" w:pos="630"/>
        </w:tabs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Minutes of the Last Meeting</w:t>
      </w:r>
    </w:p>
    <w:p w:rsidR="00E92834" w:rsidRPr="003F5636" w:rsidRDefault="00DD2157" w:rsidP="0005526F">
      <w:pPr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 xml:space="preserve">Item 7 c) was amended to include the word ‘visit’ at the end of the first sentence. </w:t>
      </w:r>
      <w:r w:rsidR="00522602" w:rsidRPr="003F5636">
        <w:rPr>
          <w:rFonts w:asciiTheme="minorHAnsi" w:hAnsiTheme="minorHAnsi" w:cs="Arial"/>
          <w:sz w:val="24"/>
          <w:szCs w:val="24"/>
        </w:rPr>
        <w:t>These were</w:t>
      </w:r>
      <w:r w:rsidRPr="003F5636">
        <w:rPr>
          <w:rFonts w:asciiTheme="minorHAnsi" w:hAnsiTheme="minorHAnsi" w:cs="Arial"/>
          <w:sz w:val="24"/>
          <w:szCs w:val="24"/>
        </w:rPr>
        <w:t xml:space="preserve"> then </w:t>
      </w:r>
      <w:r w:rsidR="00522602" w:rsidRPr="003F5636">
        <w:rPr>
          <w:rFonts w:asciiTheme="minorHAnsi" w:hAnsiTheme="minorHAnsi" w:cs="Arial"/>
          <w:b/>
          <w:sz w:val="24"/>
          <w:szCs w:val="24"/>
        </w:rPr>
        <w:t>agreed</w:t>
      </w:r>
      <w:r w:rsidR="00522602" w:rsidRPr="003F5636">
        <w:rPr>
          <w:rFonts w:asciiTheme="minorHAnsi" w:hAnsiTheme="minorHAnsi" w:cs="Arial"/>
          <w:sz w:val="24"/>
          <w:szCs w:val="24"/>
        </w:rPr>
        <w:t xml:space="preserve"> to be a</w:t>
      </w:r>
      <w:r w:rsidR="00083472" w:rsidRPr="003F5636">
        <w:rPr>
          <w:rFonts w:asciiTheme="minorHAnsi" w:hAnsiTheme="minorHAnsi" w:cs="Arial"/>
          <w:sz w:val="24"/>
          <w:szCs w:val="24"/>
        </w:rPr>
        <w:t xml:space="preserve"> true record</w:t>
      </w:r>
      <w:r w:rsidR="006706FA" w:rsidRPr="003F5636">
        <w:rPr>
          <w:rFonts w:asciiTheme="minorHAnsi" w:hAnsiTheme="minorHAnsi" w:cs="Arial"/>
          <w:sz w:val="24"/>
          <w:szCs w:val="24"/>
        </w:rPr>
        <w:t xml:space="preserve"> </w:t>
      </w:r>
      <w:r w:rsidR="00C87A4E" w:rsidRPr="003F5636">
        <w:rPr>
          <w:rFonts w:asciiTheme="minorHAnsi" w:hAnsiTheme="minorHAnsi" w:cs="Arial"/>
          <w:sz w:val="24"/>
          <w:szCs w:val="24"/>
        </w:rPr>
        <w:t>and</w:t>
      </w:r>
      <w:r w:rsidR="006706FA" w:rsidRPr="003F5636">
        <w:rPr>
          <w:rFonts w:asciiTheme="minorHAnsi" w:hAnsiTheme="minorHAnsi" w:cs="Arial"/>
          <w:sz w:val="24"/>
          <w:szCs w:val="24"/>
        </w:rPr>
        <w:t xml:space="preserve"> were</w:t>
      </w:r>
      <w:r w:rsidR="00C87A4E" w:rsidRPr="003F5636">
        <w:rPr>
          <w:rFonts w:asciiTheme="minorHAnsi" w:hAnsiTheme="minorHAnsi" w:cs="Arial"/>
          <w:sz w:val="24"/>
          <w:szCs w:val="24"/>
        </w:rPr>
        <w:t xml:space="preserve"> signed by Cllr </w:t>
      </w:r>
      <w:r w:rsidR="00DB5E3E" w:rsidRPr="003F5636">
        <w:rPr>
          <w:rFonts w:asciiTheme="minorHAnsi" w:hAnsiTheme="minorHAnsi" w:cs="Arial"/>
          <w:sz w:val="24"/>
          <w:szCs w:val="24"/>
        </w:rPr>
        <w:t>McTaggart</w:t>
      </w:r>
      <w:r w:rsidR="007E1026" w:rsidRPr="003F5636">
        <w:rPr>
          <w:rFonts w:asciiTheme="minorHAnsi" w:hAnsiTheme="minorHAnsi" w:cs="Arial"/>
          <w:sz w:val="24"/>
          <w:szCs w:val="24"/>
        </w:rPr>
        <w:t xml:space="preserve"> as</w:t>
      </w:r>
      <w:r w:rsidR="00C87A4E" w:rsidRPr="003F5636">
        <w:rPr>
          <w:rFonts w:asciiTheme="minorHAnsi" w:hAnsiTheme="minorHAnsi" w:cs="Arial"/>
          <w:sz w:val="24"/>
          <w:szCs w:val="24"/>
        </w:rPr>
        <w:t xml:space="preserve"> Chair of the meeting</w:t>
      </w:r>
      <w:r w:rsidR="00083472" w:rsidRPr="003F5636">
        <w:rPr>
          <w:rFonts w:asciiTheme="minorHAnsi" w:hAnsiTheme="minorHAnsi" w:cs="Arial"/>
          <w:sz w:val="24"/>
          <w:szCs w:val="24"/>
        </w:rPr>
        <w:t xml:space="preserve">. </w:t>
      </w:r>
    </w:p>
    <w:p w:rsidR="00E92834" w:rsidRPr="003F5636" w:rsidRDefault="00E92834" w:rsidP="00085DA6">
      <w:pPr>
        <w:ind w:left="629"/>
        <w:rPr>
          <w:rFonts w:asciiTheme="minorHAnsi" w:hAnsiTheme="minorHAnsi" w:cs="Arial"/>
          <w:b/>
          <w:sz w:val="24"/>
          <w:szCs w:val="24"/>
        </w:rPr>
      </w:pPr>
    </w:p>
    <w:p w:rsidR="00E92834" w:rsidRPr="003F5636" w:rsidRDefault="00383C0F" w:rsidP="00085DA6">
      <w:pPr>
        <w:numPr>
          <w:ilvl w:val="0"/>
          <w:numId w:val="1"/>
        </w:numPr>
        <w:ind w:left="629"/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Matters Arising</w:t>
      </w:r>
    </w:p>
    <w:p w:rsidR="00A82036" w:rsidRPr="003F5636" w:rsidRDefault="00EB1760" w:rsidP="001F1735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 xml:space="preserve">Due to the Year End process, accounts, and the APM the registering of </w:t>
      </w:r>
      <w:proofErr w:type="spellStart"/>
      <w:r w:rsidR="00A82036" w:rsidRPr="003F5636">
        <w:rPr>
          <w:rFonts w:asciiTheme="minorHAnsi" w:hAnsiTheme="minorHAnsi" w:cs="Arial"/>
          <w:sz w:val="24"/>
          <w:szCs w:val="24"/>
        </w:rPr>
        <w:t>Pugg</w:t>
      </w:r>
      <w:proofErr w:type="spellEnd"/>
      <w:r w:rsidR="00A82036" w:rsidRPr="003F5636">
        <w:rPr>
          <w:rFonts w:asciiTheme="minorHAnsi" w:hAnsiTheme="minorHAnsi" w:cs="Arial"/>
          <w:sz w:val="24"/>
          <w:szCs w:val="24"/>
        </w:rPr>
        <w:t xml:space="preserve"> Street Staithe</w:t>
      </w:r>
      <w:r w:rsidRPr="003F5636">
        <w:rPr>
          <w:rFonts w:asciiTheme="minorHAnsi" w:hAnsiTheme="minorHAnsi" w:cs="Arial"/>
          <w:sz w:val="24"/>
          <w:szCs w:val="24"/>
        </w:rPr>
        <w:t xml:space="preserve"> and a meeting with the Environment Agency has yet to be arranged</w:t>
      </w:r>
      <w:r w:rsidR="00A82036" w:rsidRPr="003F5636">
        <w:rPr>
          <w:rFonts w:asciiTheme="minorHAnsi" w:hAnsiTheme="minorHAnsi" w:cs="Arial"/>
          <w:sz w:val="24"/>
          <w:szCs w:val="24"/>
        </w:rPr>
        <w:t xml:space="preserve">.  </w:t>
      </w:r>
    </w:p>
    <w:p w:rsidR="00EB1760" w:rsidRPr="003F5636" w:rsidRDefault="00EB1760" w:rsidP="001F1735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Cllr McTaggart welcomed new Councillor Wallace to the Council.</w:t>
      </w:r>
    </w:p>
    <w:p w:rsidR="00D40E1D" w:rsidRPr="003F5636" w:rsidRDefault="00D40E1D" w:rsidP="00D40E1D">
      <w:pPr>
        <w:ind w:left="360"/>
        <w:rPr>
          <w:rFonts w:asciiTheme="minorHAnsi" w:hAnsiTheme="minorHAnsi" w:cs="Arial"/>
          <w:sz w:val="24"/>
          <w:szCs w:val="24"/>
        </w:rPr>
      </w:pPr>
    </w:p>
    <w:p w:rsidR="00C978B8" w:rsidRPr="003F5636" w:rsidRDefault="00C978B8" w:rsidP="00383C0F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Annual Resolutions</w:t>
      </w:r>
    </w:p>
    <w:p w:rsidR="00C978B8" w:rsidRPr="003F5636" w:rsidRDefault="00C978B8" w:rsidP="00C978B8">
      <w:pPr>
        <w:pStyle w:val="ListParagraph"/>
        <w:numPr>
          <w:ilvl w:val="0"/>
          <w:numId w:val="40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Annual Risk Assessment and Policy Review</w:t>
      </w:r>
    </w:p>
    <w:p w:rsidR="00414F00" w:rsidRPr="003F5636" w:rsidRDefault="00414F00" w:rsidP="00414F00">
      <w:pPr>
        <w:pStyle w:val="ListParagraph"/>
        <w:ind w:left="84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These were unanimously accepted by the Council.</w:t>
      </w:r>
    </w:p>
    <w:p w:rsidR="00C978B8" w:rsidRPr="003F5636" w:rsidRDefault="00C978B8" w:rsidP="00C978B8">
      <w:pPr>
        <w:pStyle w:val="ListParagraph"/>
        <w:numPr>
          <w:ilvl w:val="0"/>
          <w:numId w:val="40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Schedule of Assets</w:t>
      </w:r>
    </w:p>
    <w:p w:rsidR="00414F00" w:rsidRPr="003F5636" w:rsidRDefault="00414F00" w:rsidP="00414F00">
      <w:pPr>
        <w:pStyle w:val="ListParagraph"/>
        <w:ind w:left="84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These were agreed as correct.</w:t>
      </w:r>
    </w:p>
    <w:p w:rsidR="00C978B8" w:rsidRPr="003F5636" w:rsidRDefault="00C978B8" w:rsidP="00C978B8">
      <w:pPr>
        <w:pStyle w:val="ListParagraph"/>
        <w:numPr>
          <w:ilvl w:val="0"/>
          <w:numId w:val="40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To appoint a member of the Council to undertake periodic review of the administration  and accounting procedures</w:t>
      </w:r>
    </w:p>
    <w:p w:rsidR="00414F00" w:rsidRPr="003F5636" w:rsidRDefault="00414F00" w:rsidP="00414F00">
      <w:pPr>
        <w:pStyle w:val="ListParagraph"/>
        <w:ind w:left="84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Cllr Wright accepted this position.</w:t>
      </w:r>
    </w:p>
    <w:p w:rsidR="00C978B8" w:rsidRPr="003F5636" w:rsidRDefault="00C978B8" w:rsidP="00C978B8">
      <w:pPr>
        <w:pStyle w:val="ListParagraph"/>
        <w:numPr>
          <w:ilvl w:val="0"/>
          <w:numId w:val="40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To consider an insurance provider for 2019/20</w:t>
      </w:r>
    </w:p>
    <w:p w:rsidR="000D0A0B" w:rsidRPr="003F5636" w:rsidRDefault="000D0A0B" w:rsidP="000D0A0B">
      <w:pPr>
        <w:pStyle w:val="ListParagraph"/>
        <w:ind w:left="84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 xml:space="preserve">The </w:t>
      </w:r>
      <w:r w:rsidRPr="003F5636">
        <w:rPr>
          <w:rFonts w:asciiTheme="minorHAnsi" w:hAnsiTheme="minorHAnsi" w:cs="Arial"/>
          <w:b/>
          <w:sz w:val="24"/>
          <w:szCs w:val="24"/>
        </w:rPr>
        <w:t xml:space="preserve">Clerk </w:t>
      </w:r>
      <w:r w:rsidRPr="003F5636">
        <w:rPr>
          <w:rFonts w:asciiTheme="minorHAnsi" w:hAnsiTheme="minorHAnsi" w:cs="Arial"/>
          <w:sz w:val="24"/>
          <w:szCs w:val="24"/>
        </w:rPr>
        <w:t>was asked to request why there was a £50 administration charge.</w:t>
      </w:r>
    </w:p>
    <w:p w:rsidR="00C978B8" w:rsidRPr="003F5636" w:rsidRDefault="00C978B8" w:rsidP="00C978B8">
      <w:pPr>
        <w:pStyle w:val="ListParagraph"/>
        <w:numPr>
          <w:ilvl w:val="0"/>
          <w:numId w:val="40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To approve the schedule of meetings for 2019/20</w:t>
      </w:r>
    </w:p>
    <w:p w:rsidR="000D0A0B" w:rsidRPr="003F5636" w:rsidRDefault="000D0A0B" w:rsidP="000D0A0B">
      <w:pPr>
        <w:pStyle w:val="ListParagraph"/>
        <w:ind w:left="84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This was agreed by the Council.</w:t>
      </w:r>
    </w:p>
    <w:p w:rsidR="00C978B8" w:rsidRPr="003F5636" w:rsidRDefault="00C978B8" w:rsidP="00C978B8">
      <w:pPr>
        <w:rPr>
          <w:rFonts w:asciiTheme="minorHAnsi" w:hAnsiTheme="minorHAnsi" w:cs="Arial"/>
          <w:b/>
          <w:sz w:val="24"/>
          <w:szCs w:val="24"/>
        </w:rPr>
      </w:pPr>
    </w:p>
    <w:p w:rsidR="00383C0F" w:rsidRPr="003F5636" w:rsidRDefault="00383C0F" w:rsidP="00383C0F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 xml:space="preserve">Borough and </w:t>
      </w:r>
      <w:r w:rsidR="00E92834" w:rsidRPr="003F5636">
        <w:rPr>
          <w:rFonts w:asciiTheme="minorHAnsi" w:hAnsiTheme="minorHAnsi" w:cs="Arial"/>
          <w:b/>
          <w:sz w:val="24"/>
          <w:szCs w:val="24"/>
        </w:rPr>
        <w:t>C</w:t>
      </w:r>
      <w:r w:rsidRPr="003F5636">
        <w:rPr>
          <w:rFonts w:asciiTheme="minorHAnsi" w:hAnsiTheme="minorHAnsi" w:cs="Arial"/>
          <w:b/>
          <w:sz w:val="24"/>
          <w:szCs w:val="24"/>
        </w:rPr>
        <w:t>ounty</w:t>
      </w:r>
      <w:r w:rsidR="00E92834" w:rsidRPr="003F5636">
        <w:rPr>
          <w:rFonts w:asciiTheme="minorHAnsi" w:hAnsiTheme="minorHAnsi" w:cs="Arial"/>
          <w:b/>
          <w:sz w:val="24"/>
          <w:szCs w:val="24"/>
        </w:rPr>
        <w:t xml:space="preserve"> C</w:t>
      </w:r>
      <w:r w:rsidRPr="003F5636">
        <w:rPr>
          <w:rFonts w:asciiTheme="minorHAnsi" w:hAnsiTheme="minorHAnsi" w:cs="Arial"/>
          <w:b/>
          <w:sz w:val="24"/>
          <w:szCs w:val="24"/>
        </w:rPr>
        <w:t xml:space="preserve">ouncillor </w:t>
      </w:r>
      <w:r w:rsidR="00E92834" w:rsidRPr="003F5636">
        <w:rPr>
          <w:rFonts w:asciiTheme="minorHAnsi" w:hAnsiTheme="minorHAnsi" w:cs="Arial"/>
          <w:b/>
          <w:sz w:val="24"/>
          <w:szCs w:val="24"/>
        </w:rPr>
        <w:t>R</w:t>
      </w:r>
      <w:r w:rsidRPr="003F5636">
        <w:rPr>
          <w:rFonts w:asciiTheme="minorHAnsi" w:hAnsiTheme="minorHAnsi" w:cs="Arial"/>
          <w:b/>
          <w:sz w:val="24"/>
          <w:szCs w:val="24"/>
        </w:rPr>
        <w:t>eports</w:t>
      </w:r>
      <w:r w:rsidR="00E92834" w:rsidRPr="003F5636">
        <w:rPr>
          <w:rFonts w:asciiTheme="minorHAnsi" w:hAnsiTheme="minorHAnsi" w:cs="Arial"/>
          <w:b/>
          <w:sz w:val="24"/>
          <w:szCs w:val="24"/>
        </w:rPr>
        <w:t xml:space="preserve"> / P</w:t>
      </w:r>
      <w:r w:rsidRPr="003F5636">
        <w:rPr>
          <w:rFonts w:asciiTheme="minorHAnsi" w:hAnsiTheme="minorHAnsi" w:cs="Arial"/>
          <w:b/>
          <w:sz w:val="24"/>
          <w:szCs w:val="24"/>
        </w:rPr>
        <w:t>olice</w:t>
      </w:r>
      <w:r w:rsidR="00E92834" w:rsidRPr="003F5636">
        <w:rPr>
          <w:rFonts w:asciiTheme="minorHAnsi" w:hAnsiTheme="minorHAnsi" w:cs="Arial"/>
          <w:b/>
          <w:sz w:val="24"/>
          <w:szCs w:val="24"/>
        </w:rPr>
        <w:t xml:space="preserve"> R</w:t>
      </w:r>
      <w:r w:rsidRPr="003F5636">
        <w:rPr>
          <w:rFonts w:asciiTheme="minorHAnsi" w:hAnsiTheme="minorHAnsi" w:cs="Arial"/>
          <w:b/>
          <w:sz w:val="24"/>
          <w:szCs w:val="24"/>
        </w:rPr>
        <w:t>eport</w:t>
      </w:r>
    </w:p>
    <w:p w:rsidR="00EB1760" w:rsidRPr="003F5636" w:rsidRDefault="00EB1760" w:rsidP="004D2F67">
      <w:pPr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The police statistics for March were 1 burglary along Bridge Road and 1 violent off</w:t>
      </w:r>
      <w:r w:rsidR="00A8204F">
        <w:rPr>
          <w:rFonts w:asciiTheme="minorHAnsi" w:hAnsiTheme="minorHAnsi" w:cs="Arial"/>
          <w:sz w:val="24"/>
          <w:szCs w:val="24"/>
        </w:rPr>
        <w:t>en</w:t>
      </w:r>
      <w:r w:rsidRPr="003F5636">
        <w:rPr>
          <w:rFonts w:asciiTheme="minorHAnsi" w:hAnsiTheme="minorHAnsi" w:cs="Arial"/>
          <w:sz w:val="24"/>
          <w:szCs w:val="24"/>
        </w:rPr>
        <w:t>ce on the High Road.</w:t>
      </w:r>
    </w:p>
    <w:p w:rsidR="004D2F67" w:rsidRPr="003F5636" w:rsidRDefault="00A84C32" w:rsidP="004D2F67">
      <w:pPr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 xml:space="preserve">CCllr Thirtle </w:t>
      </w:r>
      <w:r w:rsidR="005406A4" w:rsidRPr="003F5636">
        <w:rPr>
          <w:rFonts w:asciiTheme="minorHAnsi" w:hAnsiTheme="minorHAnsi" w:cs="Arial"/>
          <w:sz w:val="24"/>
          <w:szCs w:val="24"/>
        </w:rPr>
        <w:t>informed the meeting</w:t>
      </w:r>
      <w:r w:rsidR="00975141" w:rsidRPr="003F5636">
        <w:rPr>
          <w:rFonts w:asciiTheme="minorHAnsi" w:hAnsiTheme="minorHAnsi" w:cs="Arial"/>
          <w:sz w:val="24"/>
          <w:szCs w:val="24"/>
        </w:rPr>
        <w:t xml:space="preserve"> </w:t>
      </w:r>
      <w:r w:rsidR="004D2F67" w:rsidRPr="003F5636">
        <w:rPr>
          <w:rFonts w:asciiTheme="minorHAnsi" w:hAnsiTheme="minorHAnsi" w:cs="Arial"/>
          <w:sz w:val="24"/>
          <w:szCs w:val="24"/>
        </w:rPr>
        <w:t xml:space="preserve">that </w:t>
      </w:r>
      <w:r w:rsidR="00EB1760" w:rsidRPr="003F5636">
        <w:rPr>
          <w:rFonts w:asciiTheme="minorHAnsi" w:hAnsiTheme="minorHAnsi" w:cs="Arial"/>
          <w:sz w:val="24"/>
          <w:szCs w:val="24"/>
        </w:rPr>
        <w:t>his tenure as Chairman of the Broads Authority ends on the 27</w:t>
      </w:r>
      <w:r w:rsidR="00EB1760" w:rsidRPr="003F563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EB1760" w:rsidRPr="003F5636">
        <w:rPr>
          <w:rFonts w:asciiTheme="minorHAnsi" w:hAnsiTheme="minorHAnsi" w:cs="Arial"/>
          <w:sz w:val="24"/>
          <w:szCs w:val="24"/>
        </w:rPr>
        <w:t xml:space="preserve"> July. The cafe at Acle Bridge is open as an interim to provide a service until the new facilities </w:t>
      </w:r>
      <w:r w:rsidR="004D2F67" w:rsidRPr="003F5636">
        <w:rPr>
          <w:rFonts w:asciiTheme="minorHAnsi" w:hAnsiTheme="minorHAnsi" w:cs="Arial"/>
          <w:sz w:val="24"/>
          <w:szCs w:val="24"/>
        </w:rPr>
        <w:t>a</w:t>
      </w:r>
      <w:r w:rsidR="00EB1760" w:rsidRPr="003F5636">
        <w:rPr>
          <w:rFonts w:asciiTheme="minorHAnsi" w:hAnsiTheme="minorHAnsi" w:cs="Arial"/>
          <w:sz w:val="24"/>
          <w:szCs w:val="24"/>
        </w:rPr>
        <w:t>re built.</w:t>
      </w:r>
      <w:r w:rsidR="005406A4" w:rsidRPr="003F5636">
        <w:rPr>
          <w:rFonts w:asciiTheme="minorHAnsi" w:hAnsiTheme="minorHAnsi" w:cs="Arial"/>
          <w:sz w:val="24"/>
          <w:szCs w:val="24"/>
        </w:rPr>
        <w:t xml:space="preserve">  He will be meeting with the Parliamentary Undersecretary for State regarding stakeholders in the Broads and Julian Glover who has written a report on all the National Parks for Michael Gove on the future of the Parks.  It is anticipated that there will be more tourism for the area post </w:t>
      </w:r>
      <w:proofErr w:type="spellStart"/>
      <w:r w:rsidR="005406A4" w:rsidRPr="003F5636">
        <w:rPr>
          <w:rFonts w:asciiTheme="minorHAnsi" w:hAnsiTheme="minorHAnsi" w:cs="Arial"/>
          <w:sz w:val="24"/>
          <w:szCs w:val="24"/>
        </w:rPr>
        <w:t>Brexit</w:t>
      </w:r>
      <w:proofErr w:type="spellEnd"/>
      <w:r w:rsidR="005406A4" w:rsidRPr="003F5636">
        <w:rPr>
          <w:rFonts w:asciiTheme="minorHAnsi" w:hAnsiTheme="minorHAnsi" w:cs="Arial"/>
          <w:sz w:val="24"/>
          <w:szCs w:val="24"/>
        </w:rPr>
        <w:t xml:space="preserve"> and the Broads in particular will face a difficult balancing act between tourism and the environment.</w:t>
      </w:r>
    </w:p>
    <w:p w:rsidR="00A84C32" w:rsidRPr="003F5636" w:rsidRDefault="00A84C32" w:rsidP="001C41E5">
      <w:pPr>
        <w:ind w:left="630"/>
        <w:rPr>
          <w:rFonts w:asciiTheme="minorHAnsi" w:hAnsiTheme="minorHAnsi" w:cs="Arial"/>
          <w:sz w:val="24"/>
          <w:szCs w:val="24"/>
        </w:rPr>
      </w:pPr>
    </w:p>
    <w:p w:rsidR="001C41E5" w:rsidRPr="003F5636" w:rsidRDefault="001C41E5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Correspondence</w:t>
      </w:r>
    </w:p>
    <w:p w:rsidR="007417DF" w:rsidRPr="003F5636" w:rsidRDefault="007145A7" w:rsidP="007145A7">
      <w:pPr>
        <w:pStyle w:val="ListParagraph"/>
        <w:numPr>
          <w:ilvl w:val="0"/>
          <w:numId w:val="42"/>
        </w:numPr>
        <w:tabs>
          <w:tab w:val="left" w:pos="3225"/>
        </w:tabs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Letters and an email of thanks have been received from Citizens Advice, East Anglian Air Ambulance and NARS for the S137 donations.</w:t>
      </w:r>
    </w:p>
    <w:p w:rsidR="007145A7" w:rsidRPr="003F5636" w:rsidRDefault="007145A7" w:rsidP="007145A7">
      <w:pPr>
        <w:pStyle w:val="ListParagraph"/>
        <w:numPr>
          <w:ilvl w:val="0"/>
          <w:numId w:val="42"/>
        </w:numPr>
        <w:tabs>
          <w:tab w:val="left" w:pos="3225"/>
        </w:tabs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There is a Parish Paths Seminar on the 29</w:t>
      </w:r>
      <w:r w:rsidRPr="003F563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3F5636">
        <w:rPr>
          <w:rFonts w:asciiTheme="minorHAnsi" w:hAnsiTheme="minorHAnsi" w:cs="Arial"/>
          <w:sz w:val="24"/>
          <w:szCs w:val="24"/>
        </w:rPr>
        <w:t xml:space="preserve"> May 2-4pm at North </w:t>
      </w:r>
      <w:proofErr w:type="spellStart"/>
      <w:r w:rsidRPr="003F5636">
        <w:rPr>
          <w:rFonts w:asciiTheme="minorHAnsi" w:hAnsiTheme="minorHAnsi" w:cs="Arial"/>
          <w:sz w:val="24"/>
          <w:szCs w:val="24"/>
        </w:rPr>
        <w:t>Walsham</w:t>
      </w:r>
      <w:proofErr w:type="spellEnd"/>
      <w:r w:rsidRPr="003F5636">
        <w:rPr>
          <w:rFonts w:asciiTheme="minorHAnsi" w:hAnsiTheme="minorHAnsi" w:cs="Arial"/>
          <w:sz w:val="24"/>
          <w:szCs w:val="24"/>
        </w:rPr>
        <w:t xml:space="preserve"> High School.</w:t>
      </w:r>
    </w:p>
    <w:p w:rsidR="00E92834" w:rsidRPr="003F5636" w:rsidRDefault="00E92834" w:rsidP="00A3661F">
      <w:pPr>
        <w:rPr>
          <w:rFonts w:asciiTheme="minorHAnsi" w:hAnsiTheme="minorHAnsi" w:cs="Arial"/>
          <w:sz w:val="24"/>
          <w:szCs w:val="24"/>
        </w:rPr>
      </w:pPr>
    </w:p>
    <w:p w:rsidR="00E92834" w:rsidRPr="003F5636" w:rsidRDefault="00E92834" w:rsidP="00085DA6">
      <w:pPr>
        <w:numPr>
          <w:ilvl w:val="0"/>
          <w:numId w:val="1"/>
        </w:numPr>
        <w:tabs>
          <w:tab w:val="left" w:pos="0"/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Parish clerk’s report</w:t>
      </w:r>
      <w:r w:rsidR="005F7B43" w:rsidRPr="003F5636">
        <w:rPr>
          <w:rFonts w:asciiTheme="minorHAnsi" w:hAnsiTheme="minorHAnsi" w:cs="Arial"/>
          <w:b/>
          <w:sz w:val="24"/>
          <w:szCs w:val="24"/>
        </w:rPr>
        <w:t xml:space="preserve"> - update on highways and other issues</w:t>
      </w:r>
    </w:p>
    <w:p w:rsidR="00E337C6" w:rsidRPr="003F5636" w:rsidRDefault="00F645BD" w:rsidP="00242633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Residents of Low Road received a letter just before Easter informing them that it would be resurfaced on the Tuesday.  It took several phone calls and emails by Cllr G Willett and the Clerk for Highways to relent and only resurface the half of Low Road not completed by Anglian Water.</w:t>
      </w:r>
    </w:p>
    <w:p w:rsidR="00313177" w:rsidRPr="003F5636" w:rsidRDefault="00313177" w:rsidP="00313177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121E5F" w:rsidRPr="003F5636" w:rsidRDefault="0078429E" w:rsidP="00121E5F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Financial and administration matters</w:t>
      </w:r>
    </w:p>
    <w:p w:rsidR="00E93D9B" w:rsidRPr="003F5636" w:rsidRDefault="007A1E3B" w:rsidP="00E93D9B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proofErr w:type="gramStart"/>
      <w:r w:rsidRPr="003F5636">
        <w:rPr>
          <w:rFonts w:asciiTheme="minorHAnsi" w:hAnsiTheme="minorHAnsi" w:cs="Arial"/>
          <w:sz w:val="24"/>
          <w:szCs w:val="24"/>
        </w:rPr>
        <w:t>A</w:t>
      </w:r>
      <w:r w:rsidR="00E93D9B" w:rsidRPr="003F5636">
        <w:rPr>
          <w:rFonts w:asciiTheme="minorHAnsi" w:hAnsiTheme="minorHAnsi" w:cs="Arial"/>
          <w:sz w:val="24"/>
          <w:szCs w:val="24"/>
        </w:rPr>
        <w:t xml:space="preserve"> list of the invoices to be approved for payment</w:t>
      </w:r>
      <w:r w:rsidRPr="003F5636">
        <w:rPr>
          <w:rFonts w:asciiTheme="minorHAnsi" w:hAnsiTheme="minorHAnsi" w:cs="Arial"/>
          <w:sz w:val="24"/>
          <w:szCs w:val="24"/>
        </w:rPr>
        <w:t xml:space="preserve"> were</w:t>
      </w:r>
      <w:proofErr w:type="gramEnd"/>
      <w:r w:rsidRPr="003F5636">
        <w:rPr>
          <w:rFonts w:asciiTheme="minorHAnsi" w:hAnsiTheme="minorHAnsi" w:cs="Arial"/>
          <w:sz w:val="24"/>
          <w:szCs w:val="24"/>
        </w:rPr>
        <w:t xml:space="preserve"> presented to the Council</w:t>
      </w:r>
      <w:r w:rsidR="00E93D9B" w:rsidRPr="003F5636">
        <w:rPr>
          <w:rFonts w:asciiTheme="minorHAnsi" w:hAnsiTheme="minorHAnsi" w:cs="Arial"/>
          <w:sz w:val="24"/>
          <w:szCs w:val="24"/>
        </w:rPr>
        <w:t xml:space="preserve">.  </w:t>
      </w:r>
      <w:r w:rsidRPr="003F5636">
        <w:rPr>
          <w:rFonts w:asciiTheme="minorHAnsi" w:hAnsiTheme="minorHAnsi" w:cs="Arial"/>
          <w:sz w:val="24"/>
          <w:szCs w:val="24"/>
        </w:rPr>
        <w:t xml:space="preserve">All </w:t>
      </w:r>
      <w:r w:rsidR="00E14E04" w:rsidRPr="003F5636">
        <w:rPr>
          <w:rFonts w:asciiTheme="minorHAnsi" w:hAnsiTheme="minorHAnsi" w:cs="Arial"/>
          <w:sz w:val="24"/>
          <w:szCs w:val="24"/>
        </w:rPr>
        <w:t>w</w:t>
      </w:r>
      <w:r w:rsidRPr="003F5636">
        <w:rPr>
          <w:rFonts w:asciiTheme="minorHAnsi" w:hAnsiTheme="minorHAnsi" w:cs="Arial"/>
          <w:sz w:val="24"/>
          <w:szCs w:val="24"/>
        </w:rPr>
        <w:t>er</w:t>
      </w:r>
      <w:r w:rsidR="00796C73" w:rsidRPr="003F5636">
        <w:rPr>
          <w:rFonts w:asciiTheme="minorHAnsi" w:hAnsiTheme="minorHAnsi" w:cs="Arial"/>
          <w:sz w:val="24"/>
          <w:szCs w:val="24"/>
        </w:rPr>
        <w:t xml:space="preserve">e </w:t>
      </w:r>
      <w:r w:rsidR="00796C73" w:rsidRPr="003F5636">
        <w:rPr>
          <w:rFonts w:asciiTheme="minorHAnsi" w:hAnsiTheme="minorHAnsi" w:cs="Arial"/>
          <w:b/>
          <w:sz w:val="24"/>
          <w:szCs w:val="24"/>
        </w:rPr>
        <w:t>approved</w:t>
      </w:r>
      <w:r w:rsidRPr="003F5636">
        <w:rPr>
          <w:rFonts w:asciiTheme="minorHAnsi" w:hAnsiTheme="minorHAnsi" w:cs="Arial"/>
          <w:sz w:val="24"/>
          <w:szCs w:val="24"/>
        </w:rPr>
        <w:t xml:space="preserve"> for payment.</w:t>
      </w:r>
    </w:p>
    <w:p w:rsidR="00C978B8" w:rsidRPr="003F5636" w:rsidRDefault="00C978B8" w:rsidP="00E93D9B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Approval of the Governance Statement of the Annual Return</w:t>
      </w:r>
    </w:p>
    <w:p w:rsidR="00C978B8" w:rsidRPr="003F5636" w:rsidRDefault="00C978B8" w:rsidP="00C978B8">
      <w:pPr>
        <w:pStyle w:val="ListParagraph"/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 xml:space="preserve">The Clerk read the Annual Governance Statement and all statements were </w:t>
      </w:r>
      <w:r w:rsidRPr="003F5636">
        <w:rPr>
          <w:rFonts w:asciiTheme="minorHAnsi" w:hAnsiTheme="minorHAnsi" w:cs="Arial"/>
          <w:b/>
          <w:sz w:val="24"/>
          <w:szCs w:val="24"/>
        </w:rPr>
        <w:t>agreed</w:t>
      </w:r>
      <w:r w:rsidRPr="003F5636">
        <w:rPr>
          <w:rFonts w:asciiTheme="minorHAnsi" w:hAnsiTheme="minorHAnsi" w:cs="Arial"/>
          <w:sz w:val="24"/>
          <w:szCs w:val="24"/>
        </w:rPr>
        <w:t xml:space="preserve"> by the Council.  Cllr McTaggart and the Clerk </w:t>
      </w:r>
      <w:r w:rsidR="00776C3C" w:rsidRPr="003F5636">
        <w:rPr>
          <w:rFonts w:asciiTheme="minorHAnsi" w:hAnsiTheme="minorHAnsi" w:cs="Arial"/>
          <w:sz w:val="24"/>
          <w:szCs w:val="24"/>
        </w:rPr>
        <w:t>signed Section 1.</w:t>
      </w:r>
    </w:p>
    <w:p w:rsidR="00776C3C" w:rsidRPr="003F5636" w:rsidRDefault="00776C3C" w:rsidP="00E93D9B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Approval of t</w:t>
      </w:r>
      <w:r w:rsidR="00C978B8" w:rsidRPr="003F5636">
        <w:rPr>
          <w:rFonts w:asciiTheme="minorHAnsi" w:hAnsiTheme="minorHAnsi" w:cs="Arial"/>
          <w:sz w:val="24"/>
          <w:szCs w:val="24"/>
        </w:rPr>
        <w:t>he Accounting Statements of the Annual Return</w:t>
      </w:r>
    </w:p>
    <w:p w:rsidR="00776C3C" w:rsidRPr="003F5636" w:rsidRDefault="00776C3C" w:rsidP="00776C3C">
      <w:pPr>
        <w:pStyle w:val="ListParagraph"/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 xml:space="preserve">The Council </w:t>
      </w:r>
      <w:r w:rsidRPr="00037F7B">
        <w:rPr>
          <w:rFonts w:asciiTheme="minorHAnsi" w:hAnsiTheme="minorHAnsi" w:cs="Arial"/>
          <w:b/>
          <w:sz w:val="24"/>
          <w:szCs w:val="24"/>
        </w:rPr>
        <w:t xml:space="preserve">approved </w:t>
      </w:r>
      <w:r w:rsidRPr="003F5636">
        <w:rPr>
          <w:rFonts w:asciiTheme="minorHAnsi" w:hAnsiTheme="minorHAnsi" w:cs="Arial"/>
          <w:sz w:val="24"/>
          <w:szCs w:val="24"/>
        </w:rPr>
        <w:t>the accounts for the year ending 31</w:t>
      </w:r>
      <w:r w:rsidRPr="003F5636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Pr="003F5636">
        <w:rPr>
          <w:rFonts w:asciiTheme="minorHAnsi" w:hAnsiTheme="minorHAnsi" w:cs="Arial"/>
          <w:sz w:val="24"/>
          <w:szCs w:val="24"/>
        </w:rPr>
        <w:t xml:space="preserve"> March 2018 and Cllr McTaggart and the Clerk signed the Accounting Statements of the Annual Return.</w:t>
      </w:r>
    </w:p>
    <w:p w:rsidR="00776C3C" w:rsidRPr="003F5636" w:rsidRDefault="00776C3C" w:rsidP="00E93D9B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Cllr McTaggart and the Clerk signed the Certificate of Exemption - AGAR 2018/19 Part 2.</w:t>
      </w:r>
    </w:p>
    <w:p w:rsidR="00776C3C" w:rsidRPr="003F5636" w:rsidRDefault="00776C3C" w:rsidP="00776C3C">
      <w:pPr>
        <w:pStyle w:val="ListParagraph"/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:rsidR="00E92834" w:rsidRPr="003F5636" w:rsidRDefault="00E92834" w:rsidP="00085DA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F5636">
        <w:rPr>
          <w:rFonts w:asciiTheme="minorHAnsi" w:hAnsiTheme="minorHAnsi"/>
          <w:b/>
          <w:sz w:val="24"/>
          <w:szCs w:val="24"/>
        </w:rPr>
        <w:t>Planning Matters</w:t>
      </w:r>
    </w:p>
    <w:p w:rsidR="00E14E04" w:rsidRPr="003F5636" w:rsidRDefault="008B0F57" w:rsidP="00616496">
      <w:pPr>
        <w:ind w:left="630"/>
        <w:rPr>
          <w:rFonts w:asciiTheme="minorHAnsi" w:hAnsiTheme="minorHAnsi"/>
          <w:sz w:val="24"/>
          <w:szCs w:val="24"/>
        </w:rPr>
      </w:pPr>
      <w:r w:rsidRPr="003F5636">
        <w:rPr>
          <w:rFonts w:asciiTheme="minorHAnsi" w:hAnsiTheme="minorHAnsi"/>
          <w:sz w:val="24"/>
          <w:szCs w:val="24"/>
        </w:rPr>
        <w:t xml:space="preserve">BA/2019/0111/FUL - extend temporary permission for car park use at Land at Former Bridge Hotel, The Causeway, Repps with Bastwick. The Council had </w:t>
      </w:r>
      <w:r w:rsidRPr="003F5636">
        <w:rPr>
          <w:rFonts w:asciiTheme="minorHAnsi" w:hAnsiTheme="minorHAnsi"/>
          <w:b/>
          <w:sz w:val="24"/>
          <w:szCs w:val="24"/>
        </w:rPr>
        <w:t>n</w:t>
      </w:r>
      <w:r w:rsidR="00616496" w:rsidRPr="003F5636">
        <w:rPr>
          <w:rFonts w:asciiTheme="minorHAnsi" w:hAnsiTheme="minorHAnsi"/>
          <w:b/>
          <w:sz w:val="24"/>
          <w:szCs w:val="24"/>
        </w:rPr>
        <w:t xml:space="preserve">o </w:t>
      </w:r>
      <w:r w:rsidRPr="003F5636">
        <w:rPr>
          <w:rFonts w:asciiTheme="minorHAnsi" w:hAnsiTheme="minorHAnsi"/>
          <w:b/>
          <w:sz w:val="24"/>
          <w:szCs w:val="24"/>
        </w:rPr>
        <w:t>objection</w:t>
      </w:r>
      <w:r w:rsidRPr="003F5636">
        <w:rPr>
          <w:rFonts w:asciiTheme="minorHAnsi" w:hAnsiTheme="minorHAnsi"/>
          <w:sz w:val="24"/>
          <w:szCs w:val="24"/>
        </w:rPr>
        <w:t xml:space="preserve"> to the application but a comment requesting the site should be kept tidy would be submitted.</w:t>
      </w:r>
    </w:p>
    <w:p w:rsidR="00C978B8" w:rsidRPr="003F5636" w:rsidRDefault="00C978B8" w:rsidP="00616496">
      <w:pPr>
        <w:ind w:left="630"/>
        <w:rPr>
          <w:rFonts w:asciiTheme="minorHAnsi" w:hAnsiTheme="minorHAnsi"/>
          <w:sz w:val="24"/>
          <w:szCs w:val="24"/>
        </w:rPr>
      </w:pPr>
    </w:p>
    <w:p w:rsidR="00C978B8" w:rsidRPr="003F5636" w:rsidRDefault="00C978B8" w:rsidP="00C978B8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Allotments</w:t>
      </w:r>
    </w:p>
    <w:p w:rsidR="00563680" w:rsidRPr="003F5636" w:rsidRDefault="00C978B8" w:rsidP="00C978B8">
      <w:pPr>
        <w:pStyle w:val="ListParagraph"/>
        <w:numPr>
          <w:ilvl w:val="0"/>
          <w:numId w:val="39"/>
        </w:numPr>
        <w:tabs>
          <w:tab w:val="left" w:pos="709"/>
        </w:tabs>
        <w:ind w:left="709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 xml:space="preserve">A </w:t>
      </w:r>
      <w:r w:rsidR="00563680" w:rsidRPr="003F5636">
        <w:rPr>
          <w:rFonts w:asciiTheme="minorHAnsi" w:hAnsiTheme="minorHAnsi" w:cs="Arial"/>
          <w:sz w:val="24"/>
          <w:szCs w:val="24"/>
        </w:rPr>
        <w:t xml:space="preserve">site meeting was held regarding the strimming of plot 17a.  It was agreed that all plots would be re-measured to ensure accuracy of the agreements.  </w:t>
      </w:r>
    </w:p>
    <w:p w:rsidR="00C978B8" w:rsidRPr="003F5636" w:rsidRDefault="00563680" w:rsidP="00C978B8">
      <w:pPr>
        <w:pStyle w:val="ListParagraph"/>
        <w:numPr>
          <w:ilvl w:val="0"/>
          <w:numId w:val="39"/>
        </w:numPr>
        <w:tabs>
          <w:tab w:val="left" w:pos="709"/>
        </w:tabs>
        <w:ind w:left="709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Mr Phil Shreeve offered to provide posts to be installed along the boundaries of all plots.  Plot numbers could then be painted on their sides for ease of identification.</w:t>
      </w:r>
    </w:p>
    <w:p w:rsidR="00563680" w:rsidRPr="003F5636" w:rsidRDefault="00563680" w:rsidP="00C978B8">
      <w:pPr>
        <w:pStyle w:val="ListParagraph"/>
        <w:numPr>
          <w:ilvl w:val="0"/>
          <w:numId w:val="39"/>
        </w:numPr>
        <w:tabs>
          <w:tab w:val="left" w:pos="709"/>
        </w:tabs>
        <w:ind w:left="709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Clerk</w:t>
      </w:r>
      <w:r w:rsidRPr="003F5636">
        <w:rPr>
          <w:rFonts w:asciiTheme="minorHAnsi" w:hAnsiTheme="minorHAnsi" w:cs="Arial"/>
          <w:sz w:val="24"/>
          <w:szCs w:val="24"/>
        </w:rPr>
        <w:t xml:space="preserve"> to send current Agreement to BCllr Clerk to ask for advice about whether it needs further amendment.</w:t>
      </w:r>
    </w:p>
    <w:p w:rsidR="00616496" w:rsidRPr="003F5636" w:rsidRDefault="00616496" w:rsidP="00616496">
      <w:pPr>
        <w:ind w:left="630"/>
        <w:rPr>
          <w:rFonts w:asciiTheme="minorHAnsi" w:hAnsiTheme="minorHAnsi"/>
          <w:sz w:val="24"/>
          <w:szCs w:val="24"/>
        </w:rPr>
      </w:pPr>
    </w:p>
    <w:p w:rsidR="00F87F4A" w:rsidRPr="003F5636" w:rsidRDefault="00F87F4A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Matters for reporting or future agenda</w:t>
      </w:r>
    </w:p>
    <w:p w:rsidR="007E0817" w:rsidRPr="003F5636" w:rsidRDefault="007954AD" w:rsidP="003F353A">
      <w:pPr>
        <w:pStyle w:val="ListParagraph"/>
        <w:numPr>
          <w:ilvl w:val="0"/>
          <w:numId w:val="38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 xml:space="preserve">Dog fouling on the footpath to the shop was reported.  </w:t>
      </w:r>
      <w:r w:rsidRPr="003F5636">
        <w:rPr>
          <w:rFonts w:asciiTheme="minorHAnsi" w:hAnsiTheme="minorHAnsi" w:cs="Arial"/>
          <w:b/>
          <w:sz w:val="24"/>
          <w:szCs w:val="24"/>
        </w:rPr>
        <w:t>Clerk</w:t>
      </w:r>
      <w:r w:rsidRPr="003F5636">
        <w:rPr>
          <w:rFonts w:asciiTheme="minorHAnsi" w:hAnsiTheme="minorHAnsi" w:cs="Arial"/>
          <w:sz w:val="24"/>
          <w:szCs w:val="24"/>
        </w:rPr>
        <w:t xml:space="preserve"> to request more ‘no fouling’ signs.</w:t>
      </w:r>
    </w:p>
    <w:p w:rsidR="007954AD" w:rsidRPr="003F5636" w:rsidRDefault="007954AD" w:rsidP="003F353A">
      <w:pPr>
        <w:pStyle w:val="ListParagraph"/>
        <w:numPr>
          <w:ilvl w:val="0"/>
          <w:numId w:val="38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lastRenderedPageBreak/>
        <w:t xml:space="preserve">The remembrance signs in the community orchard appear to have been mown over.  </w:t>
      </w:r>
      <w:r w:rsidRPr="003F5636">
        <w:rPr>
          <w:rFonts w:asciiTheme="minorHAnsi" w:hAnsiTheme="minorHAnsi" w:cs="Arial"/>
          <w:b/>
          <w:sz w:val="24"/>
          <w:szCs w:val="24"/>
        </w:rPr>
        <w:t>Clerk</w:t>
      </w:r>
      <w:r w:rsidRPr="003F5636">
        <w:rPr>
          <w:rFonts w:asciiTheme="minorHAnsi" w:hAnsiTheme="minorHAnsi" w:cs="Arial"/>
          <w:sz w:val="24"/>
          <w:szCs w:val="24"/>
        </w:rPr>
        <w:t xml:space="preserve"> to report to CGM.</w:t>
      </w:r>
    </w:p>
    <w:p w:rsidR="003F5636" w:rsidRPr="003F5636" w:rsidRDefault="003F5636" w:rsidP="003F353A">
      <w:pPr>
        <w:pStyle w:val="ListParagraph"/>
        <w:numPr>
          <w:ilvl w:val="0"/>
          <w:numId w:val="38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The Clerk had received a query regarding launching of boats this side of Potter Heigham bridge.  It was confirmed that although it is a private slip there was a written agreement when the boat dyke was widened in the mid-late 1990s that residents would be allowed to use it free of charge.</w:t>
      </w:r>
    </w:p>
    <w:p w:rsidR="000A4255" w:rsidRPr="003F5636" w:rsidRDefault="000A4255" w:rsidP="000A4255">
      <w:pPr>
        <w:pStyle w:val="ListParagraph"/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</w:p>
    <w:p w:rsidR="00E92834" w:rsidRPr="003F5636" w:rsidRDefault="00E92834" w:rsidP="00085DA6">
      <w:pPr>
        <w:numPr>
          <w:ilvl w:val="0"/>
          <w:numId w:val="1"/>
        </w:numPr>
        <w:tabs>
          <w:tab w:val="left" w:pos="0"/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Public participation</w:t>
      </w:r>
    </w:p>
    <w:p w:rsidR="00D77F8D" w:rsidRPr="003F5636" w:rsidRDefault="003F5636" w:rsidP="000A4255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>None received.</w:t>
      </w:r>
    </w:p>
    <w:p w:rsidR="00D77F8D" w:rsidRPr="003F5636" w:rsidRDefault="00D77F8D" w:rsidP="00A44014">
      <w:pPr>
        <w:tabs>
          <w:tab w:val="left" w:pos="0"/>
          <w:tab w:val="left" w:pos="709"/>
        </w:tabs>
        <w:ind w:left="120"/>
        <w:rPr>
          <w:rFonts w:asciiTheme="minorHAnsi" w:hAnsiTheme="minorHAnsi" w:cs="Arial"/>
          <w:sz w:val="24"/>
          <w:szCs w:val="24"/>
        </w:rPr>
      </w:pPr>
    </w:p>
    <w:p w:rsidR="00E92834" w:rsidRPr="003F5636" w:rsidRDefault="00E741F2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3F5636">
        <w:rPr>
          <w:rFonts w:asciiTheme="minorHAnsi" w:hAnsiTheme="minorHAnsi" w:cs="Arial"/>
          <w:b/>
          <w:sz w:val="24"/>
          <w:szCs w:val="24"/>
        </w:rPr>
        <w:t>Date</w:t>
      </w:r>
      <w:r w:rsidR="00E92834" w:rsidRPr="003F563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F5636">
        <w:rPr>
          <w:rFonts w:asciiTheme="minorHAnsi" w:hAnsiTheme="minorHAnsi" w:cs="Arial"/>
          <w:b/>
          <w:sz w:val="24"/>
          <w:szCs w:val="24"/>
        </w:rPr>
        <w:t xml:space="preserve">and </w:t>
      </w:r>
      <w:r w:rsidR="00E92834" w:rsidRPr="003F5636">
        <w:rPr>
          <w:rFonts w:asciiTheme="minorHAnsi" w:hAnsiTheme="minorHAnsi" w:cs="Arial"/>
          <w:b/>
          <w:sz w:val="24"/>
          <w:szCs w:val="24"/>
        </w:rPr>
        <w:t>T</w:t>
      </w:r>
      <w:r w:rsidRPr="003F5636">
        <w:rPr>
          <w:rFonts w:asciiTheme="minorHAnsi" w:hAnsiTheme="minorHAnsi" w:cs="Arial"/>
          <w:b/>
          <w:sz w:val="24"/>
          <w:szCs w:val="24"/>
        </w:rPr>
        <w:t>ime of the</w:t>
      </w:r>
      <w:r w:rsidR="00E92834" w:rsidRPr="003F5636">
        <w:rPr>
          <w:rFonts w:asciiTheme="minorHAnsi" w:hAnsiTheme="minorHAnsi" w:cs="Arial"/>
          <w:b/>
          <w:sz w:val="24"/>
          <w:szCs w:val="24"/>
        </w:rPr>
        <w:t xml:space="preserve"> N</w:t>
      </w:r>
      <w:r w:rsidRPr="003F5636">
        <w:rPr>
          <w:rFonts w:asciiTheme="minorHAnsi" w:hAnsiTheme="minorHAnsi" w:cs="Arial"/>
          <w:b/>
          <w:sz w:val="24"/>
          <w:szCs w:val="24"/>
        </w:rPr>
        <w:t>ext</w:t>
      </w:r>
      <w:r w:rsidR="00E92834" w:rsidRPr="003F5636">
        <w:rPr>
          <w:rFonts w:asciiTheme="minorHAnsi" w:hAnsiTheme="minorHAnsi" w:cs="Arial"/>
          <w:b/>
          <w:sz w:val="24"/>
          <w:szCs w:val="24"/>
        </w:rPr>
        <w:t xml:space="preserve"> M</w:t>
      </w:r>
      <w:r w:rsidRPr="003F5636">
        <w:rPr>
          <w:rFonts w:asciiTheme="minorHAnsi" w:hAnsiTheme="minorHAnsi" w:cs="Arial"/>
          <w:b/>
          <w:sz w:val="24"/>
          <w:szCs w:val="24"/>
        </w:rPr>
        <w:t>eeting</w:t>
      </w:r>
    </w:p>
    <w:p w:rsidR="00A82036" w:rsidRPr="003F5636" w:rsidRDefault="00F87F4A" w:rsidP="00E6571F">
      <w:pPr>
        <w:tabs>
          <w:tab w:val="left" w:pos="709"/>
        </w:tabs>
        <w:ind w:left="567"/>
        <w:rPr>
          <w:rFonts w:asciiTheme="minorHAnsi" w:hAnsiTheme="minorHAnsi" w:cs="Arial"/>
          <w:sz w:val="24"/>
          <w:szCs w:val="24"/>
        </w:rPr>
      </w:pPr>
      <w:r w:rsidRPr="003F5636">
        <w:rPr>
          <w:rFonts w:asciiTheme="minorHAnsi" w:hAnsiTheme="minorHAnsi" w:cs="Arial"/>
          <w:sz w:val="24"/>
          <w:szCs w:val="24"/>
        </w:rPr>
        <w:t xml:space="preserve">The next meeting will be held on </w:t>
      </w:r>
      <w:r w:rsidR="00E6571F" w:rsidRPr="003F5636">
        <w:rPr>
          <w:rFonts w:asciiTheme="minorHAnsi" w:hAnsiTheme="minorHAnsi" w:cs="Arial"/>
          <w:sz w:val="24"/>
          <w:szCs w:val="24"/>
        </w:rPr>
        <w:t>4</w:t>
      </w:r>
      <w:r w:rsidR="00A82036" w:rsidRPr="003F563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A82036" w:rsidRPr="003F5636">
        <w:rPr>
          <w:rFonts w:asciiTheme="minorHAnsi" w:hAnsiTheme="minorHAnsi" w:cs="Arial"/>
          <w:sz w:val="24"/>
          <w:szCs w:val="24"/>
        </w:rPr>
        <w:t xml:space="preserve"> </w:t>
      </w:r>
      <w:r w:rsidR="00E6571F" w:rsidRPr="003F5636">
        <w:rPr>
          <w:rFonts w:asciiTheme="minorHAnsi" w:hAnsiTheme="minorHAnsi" w:cs="Arial"/>
          <w:sz w:val="24"/>
          <w:szCs w:val="24"/>
        </w:rPr>
        <w:t>June</w:t>
      </w:r>
      <w:r w:rsidR="005E2414" w:rsidRPr="003F5636">
        <w:rPr>
          <w:rFonts w:asciiTheme="minorHAnsi" w:hAnsiTheme="minorHAnsi" w:cs="Arial"/>
          <w:sz w:val="24"/>
          <w:szCs w:val="24"/>
        </w:rPr>
        <w:t xml:space="preserve"> </w:t>
      </w:r>
      <w:r w:rsidRPr="003F5636">
        <w:rPr>
          <w:rFonts w:asciiTheme="minorHAnsi" w:hAnsiTheme="minorHAnsi" w:cs="Arial"/>
          <w:sz w:val="24"/>
          <w:szCs w:val="24"/>
        </w:rPr>
        <w:t>201</w:t>
      </w:r>
      <w:r w:rsidR="00F406CD" w:rsidRPr="003F5636">
        <w:rPr>
          <w:rFonts w:asciiTheme="minorHAnsi" w:hAnsiTheme="minorHAnsi" w:cs="Arial"/>
          <w:sz w:val="24"/>
          <w:szCs w:val="24"/>
        </w:rPr>
        <w:t>9</w:t>
      </w:r>
      <w:r w:rsidRPr="003F5636">
        <w:rPr>
          <w:rFonts w:asciiTheme="minorHAnsi" w:hAnsiTheme="minorHAnsi" w:cs="Arial"/>
          <w:sz w:val="24"/>
          <w:szCs w:val="24"/>
        </w:rPr>
        <w:t xml:space="preserve"> in the Village Hall</w:t>
      </w:r>
      <w:r w:rsidR="001A085F" w:rsidRPr="003F5636">
        <w:rPr>
          <w:rFonts w:asciiTheme="minorHAnsi" w:hAnsiTheme="minorHAnsi" w:cs="Arial"/>
          <w:sz w:val="24"/>
          <w:szCs w:val="24"/>
        </w:rPr>
        <w:t xml:space="preserve"> at 8 pm.</w:t>
      </w:r>
      <w:r w:rsidR="00D77F8D" w:rsidRPr="003F5636">
        <w:rPr>
          <w:rFonts w:asciiTheme="minorHAnsi" w:hAnsiTheme="minorHAnsi" w:cs="Arial"/>
          <w:sz w:val="24"/>
          <w:szCs w:val="24"/>
        </w:rPr>
        <w:t xml:space="preserve">  </w:t>
      </w:r>
    </w:p>
    <w:p w:rsidR="00E92834" w:rsidRPr="003F5636" w:rsidRDefault="00E92834" w:rsidP="00085DA6">
      <w:pPr>
        <w:pStyle w:val="ListParagraph"/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</w:p>
    <w:p w:rsidR="00557010" w:rsidRPr="003F5636" w:rsidRDefault="00E92834">
      <w:pPr>
        <w:rPr>
          <w:rFonts w:asciiTheme="minorHAnsi" w:hAnsiTheme="minorHAnsi"/>
          <w:sz w:val="24"/>
          <w:szCs w:val="24"/>
        </w:rPr>
      </w:pPr>
      <w:r w:rsidRPr="003F5636">
        <w:rPr>
          <w:rFonts w:asciiTheme="minorHAnsi" w:hAnsiTheme="minorHAnsi"/>
          <w:b/>
          <w:sz w:val="24"/>
          <w:szCs w:val="24"/>
        </w:rPr>
        <w:t>Attachments:</w:t>
      </w:r>
      <w:r w:rsidRPr="003F5636">
        <w:rPr>
          <w:rFonts w:asciiTheme="minorHAnsi" w:hAnsiTheme="minorHAnsi"/>
          <w:sz w:val="24"/>
          <w:szCs w:val="24"/>
        </w:rPr>
        <w:t xml:space="preserve"> Draft Payments</w:t>
      </w:r>
      <w:r w:rsidR="00564537" w:rsidRPr="003F5636">
        <w:rPr>
          <w:rFonts w:asciiTheme="minorHAnsi" w:hAnsiTheme="minorHAnsi"/>
          <w:sz w:val="24"/>
          <w:szCs w:val="24"/>
        </w:rPr>
        <w:t>,</w:t>
      </w:r>
      <w:r w:rsidRPr="003F5636">
        <w:rPr>
          <w:rFonts w:asciiTheme="minorHAnsi" w:hAnsiTheme="minorHAnsi"/>
          <w:sz w:val="24"/>
          <w:szCs w:val="24"/>
        </w:rPr>
        <w:t xml:space="preserve"> and </w:t>
      </w:r>
      <w:r w:rsidR="00564537" w:rsidRPr="003F5636">
        <w:rPr>
          <w:rFonts w:asciiTheme="minorHAnsi" w:hAnsiTheme="minorHAnsi"/>
          <w:sz w:val="24"/>
          <w:szCs w:val="24"/>
        </w:rPr>
        <w:t>Income and Expenditure summary</w:t>
      </w:r>
      <w:r w:rsidRPr="003F5636">
        <w:rPr>
          <w:rFonts w:asciiTheme="minorHAnsi" w:hAnsiTheme="minorHAnsi"/>
          <w:sz w:val="24"/>
          <w:szCs w:val="24"/>
        </w:rPr>
        <w:t xml:space="preserve">. </w:t>
      </w:r>
      <w:r w:rsidR="005E2414" w:rsidRPr="003F5636">
        <w:rPr>
          <w:rFonts w:asciiTheme="minorHAnsi" w:hAnsiTheme="minorHAnsi"/>
          <w:sz w:val="24"/>
          <w:szCs w:val="24"/>
        </w:rPr>
        <w:t xml:space="preserve"> </w:t>
      </w:r>
    </w:p>
    <w:p w:rsidR="00E563DD" w:rsidRPr="003F5636" w:rsidRDefault="00E563DD" w:rsidP="004C45C2">
      <w:r w:rsidRPr="003F5636">
        <w:t xml:space="preserve">   </w:t>
      </w:r>
    </w:p>
    <w:p w:rsidR="00595D8E" w:rsidRPr="003F5636" w:rsidRDefault="00595D8E" w:rsidP="00595D8E">
      <w:pPr>
        <w:jc w:val="center"/>
        <w:rPr>
          <w:b/>
          <w:sz w:val="28"/>
          <w:u w:val="single"/>
        </w:rPr>
      </w:pPr>
      <w:r w:rsidRPr="003F5636">
        <w:rPr>
          <w:b/>
          <w:sz w:val="28"/>
          <w:u w:val="single"/>
        </w:rPr>
        <w:t xml:space="preserve">NOTES TO AGENDA </w:t>
      </w:r>
      <w:r w:rsidR="00195C4D" w:rsidRPr="003F5636">
        <w:rPr>
          <w:b/>
          <w:sz w:val="28"/>
          <w:u w:val="single"/>
        </w:rPr>
        <w:t>7</w:t>
      </w:r>
      <w:r w:rsidR="00195C4D" w:rsidRPr="003F5636">
        <w:rPr>
          <w:b/>
          <w:sz w:val="28"/>
          <w:u w:val="single"/>
          <w:vertAlign w:val="superscript"/>
        </w:rPr>
        <w:t>th</w:t>
      </w:r>
      <w:r w:rsidR="00195C4D" w:rsidRPr="003F5636">
        <w:rPr>
          <w:b/>
          <w:sz w:val="28"/>
          <w:u w:val="single"/>
        </w:rPr>
        <w:t xml:space="preserve"> M</w:t>
      </w:r>
      <w:r w:rsidRPr="003F5636">
        <w:rPr>
          <w:b/>
          <w:sz w:val="28"/>
          <w:u w:val="single"/>
        </w:rPr>
        <w:t>A</w:t>
      </w:r>
      <w:r w:rsidR="00195C4D" w:rsidRPr="003F5636">
        <w:rPr>
          <w:b/>
          <w:sz w:val="28"/>
          <w:u w:val="single"/>
        </w:rPr>
        <w:t>Y</w:t>
      </w:r>
      <w:r w:rsidRPr="003F5636">
        <w:rPr>
          <w:b/>
          <w:sz w:val="28"/>
          <w:u w:val="single"/>
        </w:rPr>
        <w:t xml:space="preserve"> 2019</w:t>
      </w:r>
    </w:p>
    <w:p w:rsidR="00595D8E" w:rsidRPr="003F5636" w:rsidRDefault="00595D8E" w:rsidP="00595D8E"/>
    <w:p w:rsidR="00195C4D" w:rsidRPr="003F5636" w:rsidRDefault="00195C4D" w:rsidP="00195C4D">
      <w:pPr>
        <w:rPr>
          <w:b/>
          <w:sz w:val="24"/>
          <w:u w:val="single"/>
        </w:rPr>
      </w:pPr>
      <w:r w:rsidRPr="003F5636">
        <w:rPr>
          <w:b/>
          <w:sz w:val="24"/>
          <w:u w:val="single"/>
        </w:rPr>
        <w:t>ITEMS TO BE CONSIDERED FOR PAYMENT</w:t>
      </w:r>
    </w:p>
    <w:p w:rsidR="00195C4D" w:rsidRPr="003F5636" w:rsidRDefault="00195C4D" w:rsidP="00195C4D">
      <w:pPr>
        <w:rPr>
          <w:b/>
          <w:sz w:val="24"/>
          <w:u w:val="single"/>
        </w:rPr>
      </w:pPr>
    </w:p>
    <w:p w:rsidR="00195C4D" w:rsidRPr="003F5636" w:rsidRDefault="00195C4D" w:rsidP="00195C4D">
      <w:pPr>
        <w:rPr>
          <w:sz w:val="24"/>
        </w:rPr>
      </w:pPr>
    </w:p>
    <w:p w:rsidR="00195C4D" w:rsidRPr="003F5636" w:rsidRDefault="00195C4D" w:rsidP="00195C4D">
      <w:pPr>
        <w:rPr>
          <w:sz w:val="24"/>
        </w:rPr>
      </w:pPr>
      <w:r w:rsidRPr="003F5636">
        <w:rPr>
          <w:sz w:val="24"/>
        </w:rPr>
        <w:t>CGM Group</w:t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  <w:t>Grounds maintenance April 19</w:t>
      </w:r>
      <w:r w:rsidRPr="003F5636">
        <w:rPr>
          <w:sz w:val="24"/>
        </w:rPr>
        <w:tab/>
      </w:r>
      <w:r w:rsidRPr="003F5636">
        <w:rPr>
          <w:sz w:val="24"/>
        </w:rPr>
        <w:tab/>
        <w:t xml:space="preserve">   416.26</w:t>
      </w:r>
    </w:p>
    <w:p w:rsidR="00195C4D" w:rsidRPr="003F5636" w:rsidRDefault="00195C4D" w:rsidP="00195C4D">
      <w:pPr>
        <w:rPr>
          <w:sz w:val="24"/>
        </w:rPr>
      </w:pPr>
    </w:p>
    <w:p w:rsidR="00195C4D" w:rsidRPr="003F5636" w:rsidRDefault="00195C4D" w:rsidP="00195C4D">
      <w:pPr>
        <w:rPr>
          <w:sz w:val="24"/>
        </w:rPr>
      </w:pPr>
      <w:r w:rsidRPr="003F5636">
        <w:rPr>
          <w:sz w:val="24"/>
        </w:rPr>
        <w:t>URM</w:t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  <w:t>glass recycling</w:t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  <w:t xml:space="preserve">     14.40</w:t>
      </w:r>
    </w:p>
    <w:p w:rsidR="00195C4D" w:rsidRPr="003F5636" w:rsidRDefault="00195C4D" w:rsidP="00195C4D">
      <w:pPr>
        <w:rPr>
          <w:sz w:val="24"/>
        </w:rPr>
      </w:pPr>
    </w:p>
    <w:p w:rsidR="00195C4D" w:rsidRPr="003F5636" w:rsidRDefault="00195C4D" w:rsidP="00195C4D">
      <w:pPr>
        <w:rPr>
          <w:sz w:val="24"/>
        </w:rPr>
      </w:pPr>
      <w:r w:rsidRPr="003F5636">
        <w:rPr>
          <w:sz w:val="24"/>
        </w:rPr>
        <w:t>Annette Collins</w:t>
      </w:r>
      <w:r w:rsidRPr="003F5636">
        <w:rPr>
          <w:sz w:val="24"/>
        </w:rPr>
        <w:tab/>
      </w:r>
      <w:r w:rsidRPr="003F5636">
        <w:rPr>
          <w:sz w:val="24"/>
        </w:rPr>
        <w:tab/>
        <w:t>internal audit fee</w:t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  <w:t xml:space="preserve">     35.00</w:t>
      </w:r>
    </w:p>
    <w:p w:rsidR="00195C4D" w:rsidRPr="003F5636" w:rsidRDefault="00195C4D" w:rsidP="00195C4D">
      <w:pPr>
        <w:rPr>
          <w:sz w:val="24"/>
        </w:rPr>
      </w:pPr>
    </w:p>
    <w:p w:rsidR="00195C4D" w:rsidRPr="003F5636" w:rsidRDefault="00195C4D" w:rsidP="00195C4D">
      <w:pPr>
        <w:rPr>
          <w:sz w:val="24"/>
        </w:rPr>
      </w:pPr>
      <w:r w:rsidRPr="003F5636">
        <w:rPr>
          <w:sz w:val="24"/>
        </w:rPr>
        <w:t>Repps Playing Field Committee</w:t>
      </w:r>
      <w:r w:rsidRPr="003F5636">
        <w:rPr>
          <w:sz w:val="24"/>
        </w:rPr>
        <w:tab/>
        <w:t>room hire Apr 18- Mar 19</w:t>
      </w:r>
      <w:r w:rsidRPr="003F5636">
        <w:rPr>
          <w:sz w:val="24"/>
        </w:rPr>
        <w:tab/>
      </w:r>
      <w:r w:rsidRPr="003F5636">
        <w:rPr>
          <w:sz w:val="24"/>
        </w:rPr>
        <w:tab/>
        <w:t xml:space="preserve">   275.00</w:t>
      </w:r>
    </w:p>
    <w:p w:rsidR="00195C4D" w:rsidRPr="003F5636" w:rsidRDefault="00195C4D" w:rsidP="00195C4D">
      <w:pPr>
        <w:rPr>
          <w:sz w:val="24"/>
        </w:rPr>
      </w:pPr>
    </w:p>
    <w:p w:rsidR="00195C4D" w:rsidRPr="003F5636" w:rsidRDefault="00195C4D" w:rsidP="00195C4D">
      <w:pPr>
        <w:rPr>
          <w:sz w:val="24"/>
        </w:rPr>
      </w:pPr>
      <w:r w:rsidRPr="003F5636">
        <w:rPr>
          <w:sz w:val="24"/>
        </w:rPr>
        <w:t>Norfolk Association of Local Councils</w:t>
      </w:r>
      <w:r w:rsidRPr="003F5636">
        <w:rPr>
          <w:sz w:val="24"/>
        </w:rPr>
        <w:tab/>
        <w:t>annual subscription</w:t>
      </w:r>
      <w:r w:rsidRPr="003F5636">
        <w:rPr>
          <w:sz w:val="24"/>
        </w:rPr>
        <w:tab/>
      </w:r>
      <w:r w:rsidRPr="003F5636">
        <w:rPr>
          <w:sz w:val="24"/>
        </w:rPr>
        <w:tab/>
        <w:t xml:space="preserve">   160.44</w:t>
      </w:r>
    </w:p>
    <w:p w:rsidR="00195C4D" w:rsidRPr="003F5636" w:rsidRDefault="00195C4D" w:rsidP="00195C4D">
      <w:pPr>
        <w:rPr>
          <w:sz w:val="24"/>
        </w:rPr>
      </w:pPr>
    </w:p>
    <w:p w:rsidR="00195C4D" w:rsidRPr="003F5636" w:rsidRDefault="00195C4D" w:rsidP="00195C4D">
      <w:pPr>
        <w:rPr>
          <w:sz w:val="24"/>
        </w:rPr>
      </w:pPr>
      <w:r w:rsidRPr="003F5636">
        <w:rPr>
          <w:sz w:val="24"/>
        </w:rPr>
        <w:t>C Dickson</w:t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  <w:t>April 19 salary</w:t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  <w:t xml:space="preserve">   158.82</w:t>
      </w:r>
      <w:r w:rsidRPr="003F5636">
        <w:rPr>
          <w:sz w:val="24"/>
        </w:rPr>
        <w:tab/>
        <w:t xml:space="preserve">   </w:t>
      </w:r>
    </w:p>
    <w:p w:rsidR="00195C4D" w:rsidRPr="003F5636" w:rsidRDefault="00195C4D" w:rsidP="00195C4D">
      <w:pPr>
        <w:rPr>
          <w:sz w:val="24"/>
        </w:rPr>
      </w:pPr>
    </w:p>
    <w:p w:rsidR="00195C4D" w:rsidRPr="003F5636" w:rsidRDefault="00195C4D" w:rsidP="00195C4D">
      <w:pPr>
        <w:rPr>
          <w:sz w:val="24"/>
        </w:rPr>
      </w:pPr>
      <w:r w:rsidRPr="003F5636">
        <w:rPr>
          <w:sz w:val="24"/>
        </w:rPr>
        <w:t>HMRC</w:t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  <w:t>PAYE April 19</w:t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  <w:t xml:space="preserve">     39.60</w:t>
      </w:r>
      <w:r w:rsidRPr="003F5636">
        <w:rPr>
          <w:sz w:val="24"/>
        </w:rPr>
        <w:tab/>
        <w:t xml:space="preserve">   </w:t>
      </w:r>
    </w:p>
    <w:p w:rsidR="00195C4D" w:rsidRPr="003F5636" w:rsidRDefault="00195C4D" w:rsidP="00195C4D">
      <w:pPr>
        <w:rPr>
          <w:sz w:val="24"/>
        </w:rPr>
      </w:pPr>
    </w:p>
    <w:p w:rsidR="00195C4D" w:rsidRPr="003F5636" w:rsidRDefault="00195C4D" w:rsidP="00195C4D">
      <w:pPr>
        <w:rPr>
          <w:sz w:val="24"/>
        </w:rPr>
      </w:pPr>
      <w:r w:rsidRPr="003F5636">
        <w:rPr>
          <w:sz w:val="24"/>
        </w:rPr>
        <w:t>C Dickson</w:t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  <w:t>expenses</w:t>
      </w:r>
      <w:r w:rsidRPr="003F5636">
        <w:rPr>
          <w:sz w:val="24"/>
        </w:rPr>
        <w:tab/>
        <w:t>mileage</w:t>
      </w:r>
      <w:r w:rsidRPr="003F5636">
        <w:rPr>
          <w:sz w:val="24"/>
        </w:rPr>
        <w:tab/>
        <w:t xml:space="preserve">    9.90</w:t>
      </w:r>
    </w:p>
    <w:p w:rsidR="00195C4D" w:rsidRPr="003F5636" w:rsidRDefault="00195C4D" w:rsidP="00195C4D">
      <w:pPr>
        <w:rPr>
          <w:sz w:val="24"/>
        </w:rPr>
      </w:pP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proofErr w:type="gramStart"/>
      <w:r w:rsidRPr="003F5636">
        <w:rPr>
          <w:sz w:val="24"/>
        </w:rPr>
        <w:t>stamps</w:t>
      </w:r>
      <w:proofErr w:type="gramEnd"/>
      <w:r w:rsidRPr="003F5636">
        <w:rPr>
          <w:sz w:val="24"/>
        </w:rPr>
        <w:tab/>
      </w:r>
      <w:r w:rsidRPr="003F5636">
        <w:rPr>
          <w:sz w:val="24"/>
        </w:rPr>
        <w:tab/>
        <w:t xml:space="preserve">    8.40</w:t>
      </w:r>
    </w:p>
    <w:p w:rsidR="00195C4D" w:rsidRPr="003F5636" w:rsidRDefault="00195C4D" w:rsidP="00195C4D">
      <w:pPr>
        <w:rPr>
          <w:sz w:val="24"/>
        </w:rPr>
      </w:pP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r w:rsidRPr="003F5636">
        <w:rPr>
          <w:sz w:val="24"/>
        </w:rPr>
        <w:tab/>
      </w:r>
      <w:proofErr w:type="gramStart"/>
      <w:r w:rsidRPr="003F5636">
        <w:rPr>
          <w:sz w:val="24"/>
        </w:rPr>
        <w:t>stationery</w:t>
      </w:r>
      <w:proofErr w:type="gramEnd"/>
      <w:r w:rsidRPr="003F5636">
        <w:rPr>
          <w:sz w:val="24"/>
        </w:rPr>
        <w:tab/>
        <w:t xml:space="preserve">    8.45</w:t>
      </w:r>
      <w:r w:rsidRPr="003F5636">
        <w:rPr>
          <w:sz w:val="24"/>
        </w:rPr>
        <w:tab/>
      </w:r>
      <w:r w:rsidRPr="003F5636">
        <w:rPr>
          <w:sz w:val="24"/>
        </w:rPr>
        <w:tab/>
        <w:t xml:space="preserve">    26.75</w:t>
      </w:r>
    </w:p>
    <w:p w:rsidR="00195C4D" w:rsidRPr="003F5636" w:rsidRDefault="00195C4D" w:rsidP="00195C4D">
      <w:pPr>
        <w:rPr>
          <w:sz w:val="24"/>
        </w:rPr>
      </w:pPr>
    </w:p>
    <w:p w:rsidR="00195C4D" w:rsidRPr="003F5636" w:rsidRDefault="00195C4D" w:rsidP="00195C4D">
      <w:pPr>
        <w:rPr>
          <w:b/>
          <w:sz w:val="24"/>
        </w:rPr>
      </w:pPr>
      <w:r w:rsidRPr="003F5636">
        <w:rPr>
          <w:b/>
          <w:sz w:val="24"/>
          <w:u w:val="single"/>
        </w:rPr>
        <w:t>TOTAL</w:t>
      </w:r>
      <w:r w:rsidRPr="003F5636">
        <w:rPr>
          <w:b/>
          <w:sz w:val="24"/>
        </w:rPr>
        <w:tab/>
      </w:r>
      <w:r w:rsidRPr="003F5636">
        <w:rPr>
          <w:b/>
          <w:sz w:val="24"/>
        </w:rPr>
        <w:tab/>
      </w:r>
      <w:r w:rsidRPr="003F5636">
        <w:rPr>
          <w:b/>
          <w:sz w:val="24"/>
        </w:rPr>
        <w:tab/>
      </w:r>
      <w:r w:rsidRPr="003F5636">
        <w:rPr>
          <w:b/>
          <w:sz w:val="24"/>
        </w:rPr>
        <w:tab/>
      </w:r>
      <w:r w:rsidRPr="003F5636">
        <w:rPr>
          <w:b/>
          <w:sz w:val="24"/>
        </w:rPr>
        <w:tab/>
      </w:r>
      <w:r w:rsidRPr="003F5636">
        <w:rPr>
          <w:b/>
          <w:sz w:val="24"/>
        </w:rPr>
        <w:tab/>
      </w:r>
      <w:r w:rsidRPr="003F5636">
        <w:rPr>
          <w:b/>
          <w:sz w:val="24"/>
        </w:rPr>
        <w:tab/>
      </w:r>
      <w:r w:rsidRPr="003F5636">
        <w:rPr>
          <w:b/>
          <w:sz w:val="24"/>
        </w:rPr>
        <w:tab/>
        <w:t xml:space="preserve">         £1,126.27</w:t>
      </w:r>
    </w:p>
    <w:p w:rsidR="00595D8E" w:rsidRPr="003F5636" w:rsidRDefault="00595D8E" w:rsidP="00595D8E"/>
    <w:p w:rsidR="00195C4D" w:rsidRPr="003F5636" w:rsidRDefault="00195C4D" w:rsidP="00595D8E"/>
    <w:tbl>
      <w:tblPr>
        <w:tblW w:w="10496" w:type="dxa"/>
        <w:tblInd w:w="108" w:type="dxa"/>
        <w:tblLook w:val="04A0"/>
      </w:tblPr>
      <w:tblGrid>
        <w:gridCol w:w="2357"/>
        <w:gridCol w:w="1191"/>
        <w:gridCol w:w="1309"/>
        <w:gridCol w:w="272"/>
        <w:gridCol w:w="2938"/>
        <w:gridCol w:w="1227"/>
        <w:gridCol w:w="1250"/>
      </w:tblGrid>
      <w:tr w:rsidR="00195C4D" w:rsidRPr="003F5636" w:rsidTr="00195C4D">
        <w:trPr>
          <w:trHeight w:val="435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INCOME AND EXPENDITURE REPORT</w:t>
            </w:r>
          </w:p>
        </w:tc>
      </w:tr>
      <w:tr w:rsidR="00195C4D" w:rsidRPr="003F5636" w:rsidTr="00195C4D">
        <w:trPr>
          <w:trHeight w:val="338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29.4.19</w:t>
            </w:r>
          </w:p>
        </w:tc>
      </w:tr>
      <w:tr w:rsidR="00195C4D" w:rsidRPr="003F5636" w:rsidTr="00195C4D">
        <w:trPr>
          <w:trHeight w:val="21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95C4D" w:rsidRPr="003F5636" w:rsidTr="00195C4D">
        <w:trPr>
          <w:trHeight w:val="58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PRECEPT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4,343.50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4,343.50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CLERKS SALARY/TAX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189.25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189.25</w:t>
            </w: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CCF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STATY/POST/PHONE ETC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21.27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21.27</w:t>
            </w: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TRAINING BURSARY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346.88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346.88</w:t>
            </w: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BANK INTEREST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922.95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922.95</w:t>
            </w: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lastRenderedPageBreak/>
              <w:t>HMRC VAT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732.18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732.18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RECYCLING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HALL HIRE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GLASS &amp; MISC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180.72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180.72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AUDIT &amp; INSURANCE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TRANSPARANCY FUNDING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FUEL ALLOTMENT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575.73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SECTION 137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100.00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100.00</w:t>
            </w: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NCC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HMRC/VAT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69.38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69.38</w:t>
            </w: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490.00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490.00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PROF/SUBS/TRAINING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DEFIBRILLATOR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5,746.40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6,322.13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1,649.73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1,649.73</w:t>
            </w: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28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CASH BOOK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AS AT 29.4.19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BANK ACCOUNT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AS AT 29.4.19</w:t>
            </w: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BALANCE B/FWD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610.46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4,757.13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5,746.40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-1,649.73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4,707.13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4,757.13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 xml:space="preserve">Less </w:t>
            </w:r>
            <w:proofErr w:type="spellStart"/>
            <w:r w:rsidRPr="003F5636">
              <w:rPr>
                <w:rFonts w:ascii="Arial" w:hAnsi="Arial" w:cs="Arial"/>
                <w:lang w:eastAsia="en-GB"/>
              </w:rPr>
              <w:t>unpresented</w:t>
            </w:r>
            <w:proofErr w:type="spellEnd"/>
            <w:r w:rsidRPr="003F5636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3F5636">
              <w:rPr>
                <w:rFonts w:ascii="Arial" w:hAnsi="Arial" w:cs="Arial"/>
                <w:lang w:eastAsia="en-GB"/>
              </w:rPr>
              <w:t>chqs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195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50.00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4,707.13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4,707.13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25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98"/>
        </w:trPr>
        <w:tc>
          <w:tcPr>
            <w:tcW w:w="2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195C4D" w:rsidRPr="003F5636" w:rsidTr="00195C4D">
        <w:trPr>
          <w:trHeight w:val="390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SAVER ACCOUNT</w:t>
            </w:r>
          </w:p>
        </w:tc>
      </w:tr>
      <w:tr w:rsidR="00195C4D" w:rsidRPr="003F5636" w:rsidTr="00195C4D">
        <w:trPr>
          <w:trHeight w:val="360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29.4.19</w:t>
            </w: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INTEREST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0.00</w:t>
            </w:r>
          </w:p>
        </w:tc>
      </w:tr>
      <w:tr w:rsidR="00195C4D" w:rsidRPr="003F5636" w:rsidTr="00195C4D">
        <w:trPr>
          <w:trHeight w:val="28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CASH BOOK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AS AT 29.4.19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BANK ACCOUNT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AS AT 29.4.19</w:t>
            </w: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BLANCE CD/FWD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8,807.33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8,807.33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3F5636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lang w:eastAsia="en-GB"/>
              </w:rPr>
            </w:pPr>
            <w:r w:rsidRPr="003F5636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  <w:tr w:rsidR="00195C4D" w:rsidRPr="00195C4D" w:rsidTr="00195C4D">
        <w:trPr>
          <w:trHeight w:val="36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BALANCE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8,807.33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3F5636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195C4D" w:rsidRDefault="00195C4D" w:rsidP="00195C4D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3F5636">
              <w:rPr>
                <w:rFonts w:ascii="Arial" w:hAnsi="Arial" w:cs="Arial"/>
                <w:b/>
                <w:bCs/>
                <w:lang w:eastAsia="en-GB"/>
              </w:rPr>
              <w:t>8,807.33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4D" w:rsidRPr="00195C4D" w:rsidRDefault="00195C4D" w:rsidP="00195C4D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195C4D" w:rsidRPr="00507D89" w:rsidRDefault="00195C4D" w:rsidP="00595D8E"/>
    <w:sectPr w:rsidR="00195C4D" w:rsidRPr="00507D89" w:rsidSect="00717F4E">
      <w:headerReference w:type="default" r:id="rId7"/>
      <w:pgSz w:w="11906" w:h="16838"/>
      <w:pgMar w:top="568" w:right="1133" w:bottom="709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4D" w:rsidRDefault="00195C4D" w:rsidP="002348BF">
      <w:r>
        <w:separator/>
      </w:r>
    </w:p>
  </w:endnote>
  <w:endnote w:type="continuationSeparator" w:id="0">
    <w:p w:rsidR="00195C4D" w:rsidRDefault="00195C4D" w:rsidP="0023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4D" w:rsidRDefault="00195C4D" w:rsidP="002348BF">
      <w:r>
        <w:separator/>
      </w:r>
    </w:p>
  </w:footnote>
  <w:footnote w:type="continuationSeparator" w:id="0">
    <w:p w:rsidR="00195C4D" w:rsidRDefault="00195C4D" w:rsidP="0023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797516"/>
      <w:docPartObj>
        <w:docPartGallery w:val="Page Numbers (Top of Page)"/>
        <w:docPartUnique/>
      </w:docPartObj>
    </w:sdtPr>
    <w:sdtContent>
      <w:p w:rsidR="00195C4D" w:rsidRDefault="00AF1C8E">
        <w:pPr>
          <w:pStyle w:val="Header"/>
          <w:jc w:val="right"/>
        </w:pPr>
        <w:r>
          <w:rPr>
            <w:noProof/>
          </w:rPr>
          <w:fldChar w:fldCharType="begin"/>
        </w:r>
        <w:r w:rsidR="00195C4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C4D" w:rsidRDefault="00195C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2E"/>
    <w:multiLevelType w:val="hybridMultilevel"/>
    <w:tmpl w:val="36A6D0E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8375BAD"/>
    <w:multiLevelType w:val="hybridMultilevel"/>
    <w:tmpl w:val="6E64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2403"/>
    <w:multiLevelType w:val="hybridMultilevel"/>
    <w:tmpl w:val="7F8CA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65840"/>
    <w:multiLevelType w:val="hybridMultilevel"/>
    <w:tmpl w:val="C89E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1F93"/>
    <w:multiLevelType w:val="hybridMultilevel"/>
    <w:tmpl w:val="E610B32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A61B1D"/>
    <w:multiLevelType w:val="hybridMultilevel"/>
    <w:tmpl w:val="C958B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344E"/>
    <w:multiLevelType w:val="hybridMultilevel"/>
    <w:tmpl w:val="9EE07BE2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51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603AB"/>
    <w:multiLevelType w:val="hybridMultilevel"/>
    <w:tmpl w:val="F2D681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BD1454"/>
    <w:multiLevelType w:val="hybridMultilevel"/>
    <w:tmpl w:val="1ECCF97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5AD1264"/>
    <w:multiLevelType w:val="hybridMultilevel"/>
    <w:tmpl w:val="73E8F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C31E3"/>
    <w:multiLevelType w:val="hybridMultilevel"/>
    <w:tmpl w:val="165AD2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171D"/>
    <w:multiLevelType w:val="hybridMultilevel"/>
    <w:tmpl w:val="53D0B3F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97E7451"/>
    <w:multiLevelType w:val="hybridMultilevel"/>
    <w:tmpl w:val="44DAE1E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A5837BA"/>
    <w:multiLevelType w:val="hybridMultilevel"/>
    <w:tmpl w:val="F60A64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D7B746C"/>
    <w:multiLevelType w:val="hybridMultilevel"/>
    <w:tmpl w:val="24924C9E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6">
    <w:nsid w:val="2FCA1323"/>
    <w:multiLevelType w:val="hybridMultilevel"/>
    <w:tmpl w:val="99F4B50C"/>
    <w:lvl w:ilvl="0" w:tplc="08090017">
      <w:start w:val="1"/>
      <w:numFmt w:val="lowerLetter"/>
      <w:lvlText w:val="%1)"/>
      <w:lvlJc w:val="left"/>
      <w:pPr>
        <w:ind w:left="2070" w:hanging="360"/>
      </w:p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3C2C3140"/>
    <w:multiLevelType w:val="hybridMultilevel"/>
    <w:tmpl w:val="2BC81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4023528E"/>
    <w:multiLevelType w:val="hybridMultilevel"/>
    <w:tmpl w:val="9D5A03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60112"/>
    <w:multiLevelType w:val="hybridMultilevel"/>
    <w:tmpl w:val="98F8EA6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42BD1D70"/>
    <w:multiLevelType w:val="hybridMultilevel"/>
    <w:tmpl w:val="09904476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C8D0800"/>
    <w:multiLevelType w:val="hybridMultilevel"/>
    <w:tmpl w:val="161A3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607D82"/>
    <w:multiLevelType w:val="hybridMultilevel"/>
    <w:tmpl w:val="7D7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7282A"/>
    <w:multiLevelType w:val="hybridMultilevel"/>
    <w:tmpl w:val="2FB45AD4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22F7468"/>
    <w:multiLevelType w:val="hybridMultilevel"/>
    <w:tmpl w:val="FB5ED5A8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534552A"/>
    <w:multiLevelType w:val="hybridMultilevel"/>
    <w:tmpl w:val="04BCDC4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682E7E6B"/>
    <w:multiLevelType w:val="hybridMultilevel"/>
    <w:tmpl w:val="4684B1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C9109A"/>
    <w:multiLevelType w:val="hybridMultilevel"/>
    <w:tmpl w:val="5AD65A76"/>
    <w:lvl w:ilvl="0" w:tplc="DE04DF74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B60F1"/>
    <w:multiLevelType w:val="hybridMultilevel"/>
    <w:tmpl w:val="A2C83C3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CB350E7"/>
    <w:multiLevelType w:val="hybridMultilevel"/>
    <w:tmpl w:val="7E2A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E4852"/>
    <w:multiLevelType w:val="hybridMultilevel"/>
    <w:tmpl w:val="90E4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F67A3"/>
    <w:multiLevelType w:val="hybridMultilevel"/>
    <w:tmpl w:val="6AEA19C4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66D13D9"/>
    <w:multiLevelType w:val="hybridMultilevel"/>
    <w:tmpl w:val="1ECC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C6A38"/>
    <w:multiLevelType w:val="hybridMultilevel"/>
    <w:tmpl w:val="40CAD6B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82F6DCE"/>
    <w:multiLevelType w:val="hybridMultilevel"/>
    <w:tmpl w:val="8F54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35157"/>
    <w:multiLevelType w:val="hybridMultilevel"/>
    <w:tmpl w:val="C958B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B32C4"/>
    <w:multiLevelType w:val="hybridMultilevel"/>
    <w:tmpl w:val="826618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52689"/>
    <w:multiLevelType w:val="hybridMultilevel"/>
    <w:tmpl w:val="092ADD6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7E5E26DD"/>
    <w:multiLevelType w:val="hybridMultilevel"/>
    <w:tmpl w:val="5AD88DE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7EBC5634"/>
    <w:multiLevelType w:val="hybridMultilevel"/>
    <w:tmpl w:val="C3C86882"/>
    <w:lvl w:ilvl="0" w:tplc="08090017">
      <w:start w:val="1"/>
      <w:numFmt w:val="lowerLetter"/>
      <w:lvlText w:val="%1)"/>
      <w:lvlJc w:val="left"/>
      <w:pPr>
        <w:ind w:left="2070" w:hanging="360"/>
      </w:p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1">
    <w:nsid w:val="7F1C25BD"/>
    <w:multiLevelType w:val="hybridMultilevel"/>
    <w:tmpl w:val="D8FCE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4"/>
  </w:num>
  <w:num w:numId="4">
    <w:abstractNumId w:val="8"/>
  </w:num>
  <w:num w:numId="5">
    <w:abstractNumId w:val="16"/>
  </w:num>
  <w:num w:numId="6">
    <w:abstractNumId w:val="18"/>
  </w:num>
  <w:num w:numId="7">
    <w:abstractNumId w:val="38"/>
  </w:num>
  <w:num w:numId="8">
    <w:abstractNumId w:val="37"/>
  </w:num>
  <w:num w:numId="9">
    <w:abstractNumId w:val="34"/>
  </w:num>
  <w:num w:numId="10">
    <w:abstractNumId w:val="41"/>
  </w:num>
  <w:num w:numId="11">
    <w:abstractNumId w:val="11"/>
  </w:num>
  <w:num w:numId="12">
    <w:abstractNumId w:val="39"/>
  </w:num>
  <w:num w:numId="13">
    <w:abstractNumId w:val="1"/>
  </w:num>
  <w:num w:numId="14">
    <w:abstractNumId w:val="17"/>
  </w:num>
  <w:num w:numId="15">
    <w:abstractNumId w:val="32"/>
  </w:num>
  <w:num w:numId="16">
    <w:abstractNumId w:val="15"/>
  </w:num>
  <w:num w:numId="17">
    <w:abstractNumId w:val="33"/>
  </w:num>
  <w:num w:numId="18">
    <w:abstractNumId w:val="20"/>
  </w:num>
  <w:num w:numId="19">
    <w:abstractNumId w:val="40"/>
  </w:num>
  <w:num w:numId="20">
    <w:abstractNumId w:val="19"/>
  </w:num>
  <w:num w:numId="21">
    <w:abstractNumId w:val="27"/>
  </w:num>
  <w:num w:numId="22">
    <w:abstractNumId w:val="36"/>
  </w:num>
  <w:num w:numId="23">
    <w:abstractNumId w:val="0"/>
  </w:num>
  <w:num w:numId="24">
    <w:abstractNumId w:val="26"/>
  </w:num>
  <w:num w:numId="25">
    <w:abstractNumId w:val="35"/>
  </w:num>
  <w:num w:numId="26">
    <w:abstractNumId w:val="21"/>
  </w:num>
  <w:num w:numId="27">
    <w:abstractNumId w:val="6"/>
  </w:num>
  <w:num w:numId="28">
    <w:abstractNumId w:val="29"/>
  </w:num>
  <w:num w:numId="29">
    <w:abstractNumId w:val="5"/>
  </w:num>
  <w:num w:numId="30">
    <w:abstractNumId w:val="4"/>
  </w:num>
  <w:num w:numId="31">
    <w:abstractNumId w:val="13"/>
  </w:num>
  <w:num w:numId="32">
    <w:abstractNumId w:val="2"/>
  </w:num>
  <w:num w:numId="33">
    <w:abstractNumId w:val="31"/>
  </w:num>
  <w:num w:numId="34">
    <w:abstractNumId w:val="30"/>
  </w:num>
  <w:num w:numId="35">
    <w:abstractNumId w:val="7"/>
  </w:num>
  <w:num w:numId="36">
    <w:abstractNumId w:val="10"/>
  </w:num>
  <w:num w:numId="37">
    <w:abstractNumId w:val="9"/>
  </w:num>
  <w:num w:numId="38">
    <w:abstractNumId w:val="3"/>
  </w:num>
  <w:num w:numId="39">
    <w:abstractNumId w:val="12"/>
  </w:num>
  <w:num w:numId="40">
    <w:abstractNumId w:val="24"/>
  </w:num>
  <w:num w:numId="41">
    <w:abstractNumId w:val="22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34"/>
    <w:rsid w:val="000026C7"/>
    <w:rsid w:val="000027E9"/>
    <w:rsid w:val="00010682"/>
    <w:rsid w:val="00010E6A"/>
    <w:rsid w:val="000139CF"/>
    <w:rsid w:val="00017D68"/>
    <w:rsid w:val="00023ADE"/>
    <w:rsid w:val="0002403B"/>
    <w:rsid w:val="00027AB9"/>
    <w:rsid w:val="00033CC0"/>
    <w:rsid w:val="00034AEE"/>
    <w:rsid w:val="00037F7B"/>
    <w:rsid w:val="0005253F"/>
    <w:rsid w:val="0005526F"/>
    <w:rsid w:val="00056061"/>
    <w:rsid w:val="00057E34"/>
    <w:rsid w:val="00067F26"/>
    <w:rsid w:val="00070FAC"/>
    <w:rsid w:val="0007216B"/>
    <w:rsid w:val="00074C0C"/>
    <w:rsid w:val="0007590E"/>
    <w:rsid w:val="00081A35"/>
    <w:rsid w:val="00083472"/>
    <w:rsid w:val="00085DA6"/>
    <w:rsid w:val="00092F34"/>
    <w:rsid w:val="000A2324"/>
    <w:rsid w:val="000A4255"/>
    <w:rsid w:val="000B10B4"/>
    <w:rsid w:val="000B6AF9"/>
    <w:rsid w:val="000C09E1"/>
    <w:rsid w:val="000C1733"/>
    <w:rsid w:val="000C5AB5"/>
    <w:rsid w:val="000D0A0B"/>
    <w:rsid w:val="000D0D21"/>
    <w:rsid w:val="000E2C6A"/>
    <w:rsid w:val="000F0C75"/>
    <w:rsid w:val="000F1738"/>
    <w:rsid w:val="000F2710"/>
    <w:rsid w:val="000F4184"/>
    <w:rsid w:val="001117F2"/>
    <w:rsid w:val="00111A08"/>
    <w:rsid w:val="00112ED8"/>
    <w:rsid w:val="00114B80"/>
    <w:rsid w:val="00121E5F"/>
    <w:rsid w:val="00123379"/>
    <w:rsid w:val="00123CEA"/>
    <w:rsid w:val="00126927"/>
    <w:rsid w:val="00130737"/>
    <w:rsid w:val="00142A4A"/>
    <w:rsid w:val="00142F70"/>
    <w:rsid w:val="00143481"/>
    <w:rsid w:val="001474B5"/>
    <w:rsid w:val="00155D2B"/>
    <w:rsid w:val="001657A7"/>
    <w:rsid w:val="001705EF"/>
    <w:rsid w:val="0017600A"/>
    <w:rsid w:val="00186C69"/>
    <w:rsid w:val="00187682"/>
    <w:rsid w:val="00192185"/>
    <w:rsid w:val="001933E6"/>
    <w:rsid w:val="00195C4D"/>
    <w:rsid w:val="00196D5C"/>
    <w:rsid w:val="001A085F"/>
    <w:rsid w:val="001A1D6A"/>
    <w:rsid w:val="001A30D4"/>
    <w:rsid w:val="001A5C3E"/>
    <w:rsid w:val="001B1CAB"/>
    <w:rsid w:val="001C41E5"/>
    <w:rsid w:val="001C5F02"/>
    <w:rsid w:val="001D53FE"/>
    <w:rsid w:val="001D59B0"/>
    <w:rsid w:val="001D6847"/>
    <w:rsid w:val="001E3D44"/>
    <w:rsid w:val="001F1735"/>
    <w:rsid w:val="001F535D"/>
    <w:rsid w:val="001F71A0"/>
    <w:rsid w:val="00205E8B"/>
    <w:rsid w:val="002110DB"/>
    <w:rsid w:val="00214D0E"/>
    <w:rsid w:val="00215074"/>
    <w:rsid w:val="00216C39"/>
    <w:rsid w:val="0022188D"/>
    <w:rsid w:val="00222176"/>
    <w:rsid w:val="00223923"/>
    <w:rsid w:val="002249A6"/>
    <w:rsid w:val="002348BF"/>
    <w:rsid w:val="0024197C"/>
    <w:rsid w:val="00242633"/>
    <w:rsid w:val="00247758"/>
    <w:rsid w:val="002524FF"/>
    <w:rsid w:val="00254608"/>
    <w:rsid w:val="00254F52"/>
    <w:rsid w:val="00255985"/>
    <w:rsid w:val="00256967"/>
    <w:rsid w:val="00263AC1"/>
    <w:rsid w:val="00266748"/>
    <w:rsid w:val="0026774D"/>
    <w:rsid w:val="00272A50"/>
    <w:rsid w:val="0027653B"/>
    <w:rsid w:val="002856E5"/>
    <w:rsid w:val="00286E6F"/>
    <w:rsid w:val="0029088C"/>
    <w:rsid w:val="00291A12"/>
    <w:rsid w:val="002A1F6F"/>
    <w:rsid w:val="002B2493"/>
    <w:rsid w:val="002B4F72"/>
    <w:rsid w:val="002B561F"/>
    <w:rsid w:val="002B5D67"/>
    <w:rsid w:val="002D3582"/>
    <w:rsid w:val="002E1716"/>
    <w:rsid w:val="002E5718"/>
    <w:rsid w:val="002F0E27"/>
    <w:rsid w:val="0030049C"/>
    <w:rsid w:val="003072C1"/>
    <w:rsid w:val="003114DC"/>
    <w:rsid w:val="00313177"/>
    <w:rsid w:val="003250E8"/>
    <w:rsid w:val="003252A8"/>
    <w:rsid w:val="0032647C"/>
    <w:rsid w:val="003272D2"/>
    <w:rsid w:val="0032769E"/>
    <w:rsid w:val="00327C3A"/>
    <w:rsid w:val="0033504D"/>
    <w:rsid w:val="00336037"/>
    <w:rsid w:val="00341D44"/>
    <w:rsid w:val="0034552D"/>
    <w:rsid w:val="00351C3E"/>
    <w:rsid w:val="00354EE1"/>
    <w:rsid w:val="003620C9"/>
    <w:rsid w:val="00364099"/>
    <w:rsid w:val="00365555"/>
    <w:rsid w:val="00366BDD"/>
    <w:rsid w:val="003675D8"/>
    <w:rsid w:val="003707C6"/>
    <w:rsid w:val="0037271B"/>
    <w:rsid w:val="00376F75"/>
    <w:rsid w:val="00380AE3"/>
    <w:rsid w:val="00383521"/>
    <w:rsid w:val="00383C0F"/>
    <w:rsid w:val="003841E0"/>
    <w:rsid w:val="003859B4"/>
    <w:rsid w:val="00395029"/>
    <w:rsid w:val="00396A43"/>
    <w:rsid w:val="00397338"/>
    <w:rsid w:val="003A0512"/>
    <w:rsid w:val="003B10D3"/>
    <w:rsid w:val="003B7E56"/>
    <w:rsid w:val="003C0EB0"/>
    <w:rsid w:val="003C3E31"/>
    <w:rsid w:val="003C4B9C"/>
    <w:rsid w:val="003C5C1A"/>
    <w:rsid w:val="003D2513"/>
    <w:rsid w:val="003D7023"/>
    <w:rsid w:val="003F31E7"/>
    <w:rsid w:val="003F353A"/>
    <w:rsid w:val="003F5636"/>
    <w:rsid w:val="00407D67"/>
    <w:rsid w:val="00414277"/>
    <w:rsid w:val="00414F00"/>
    <w:rsid w:val="00415CBF"/>
    <w:rsid w:val="004173DA"/>
    <w:rsid w:val="00422768"/>
    <w:rsid w:val="004239C6"/>
    <w:rsid w:val="0042527F"/>
    <w:rsid w:val="0043091E"/>
    <w:rsid w:val="00434525"/>
    <w:rsid w:val="004406D8"/>
    <w:rsid w:val="0044461C"/>
    <w:rsid w:val="004472FE"/>
    <w:rsid w:val="00452F94"/>
    <w:rsid w:val="00453563"/>
    <w:rsid w:val="004558C3"/>
    <w:rsid w:val="004561DD"/>
    <w:rsid w:val="004579AF"/>
    <w:rsid w:val="00460C97"/>
    <w:rsid w:val="004631C5"/>
    <w:rsid w:val="00463EFE"/>
    <w:rsid w:val="004646DD"/>
    <w:rsid w:val="004660A8"/>
    <w:rsid w:val="00466C5B"/>
    <w:rsid w:val="0047332D"/>
    <w:rsid w:val="004763BD"/>
    <w:rsid w:val="00476C44"/>
    <w:rsid w:val="00481789"/>
    <w:rsid w:val="00490738"/>
    <w:rsid w:val="00490887"/>
    <w:rsid w:val="00493711"/>
    <w:rsid w:val="00494050"/>
    <w:rsid w:val="00495688"/>
    <w:rsid w:val="004A1718"/>
    <w:rsid w:val="004A24A8"/>
    <w:rsid w:val="004B00F8"/>
    <w:rsid w:val="004B36CC"/>
    <w:rsid w:val="004B7242"/>
    <w:rsid w:val="004C023A"/>
    <w:rsid w:val="004C0790"/>
    <w:rsid w:val="004C45C2"/>
    <w:rsid w:val="004D2F67"/>
    <w:rsid w:val="004E2327"/>
    <w:rsid w:val="004E3FD0"/>
    <w:rsid w:val="004E5657"/>
    <w:rsid w:val="004F3859"/>
    <w:rsid w:val="004F5388"/>
    <w:rsid w:val="004F5FCF"/>
    <w:rsid w:val="00500541"/>
    <w:rsid w:val="00500872"/>
    <w:rsid w:val="00504799"/>
    <w:rsid w:val="005074C7"/>
    <w:rsid w:val="00507D89"/>
    <w:rsid w:val="00517BA7"/>
    <w:rsid w:val="00520EB0"/>
    <w:rsid w:val="005211A3"/>
    <w:rsid w:val="00522602"/>
    <w:rsid w:val="005228DD"/>
    <w:rsid w:val="00522E6B"/>
    <w:rsid w:val="00533B6A"/>
    <w:rsid w:val="005343E3"/>
    <w:rsid w:val="00537985"/>
    <w:rsid w:val="005406A4"/>
    <w:rsid w:val="00542057"/>
    <w:rsid w:val="00553A86"/>
    <w:rsid w:val="00554C60"/>
    <w:rsid w:val="00555C5F"/>
    <w:rsid w:val="005561B8"/>
    <w:rsid w:val="00557010"/>
    <w:rsid w:val="005617AB"/>
    <w:rsid w:val="005625AB"/>
    <w:rsid w:val="00562A3C"/>
    <w:rsid w:val="00562D04"/>
    <w:rsid w:val="00563680"/>
    <w:rsid w:val="00564537"/>
    <w:rsid w:val="005745E6"/>
    <w:rsid w:val="00577B4F"/>
    <w:rsid w:val="00586726"/>
    <w:rsid w:val="005906BE"/>
    <w:rsid w:val="00595D8E"/>
    <w:rsid w:val="00597752"/>
    <w:rsid w:val="005A57FB"/>
    <w:rsid w:val="005A71AB"/>
    <w:rsid w:val="005B4495"/>
    <w:rsid w:val="005C2A6A"/>
    <w:rsid w:val="005D4091"/>
    <w:rsid w:val="005D79AF"/>
    <w:rsid w:val="005E2414"/>
    <w:rsid w:val="005E3630"/>
    <w:rsid w:val="005E39BA"/>
    <w:rsid w:val="005E44B7"/>
    <w:rsid w:val="005E45B2"/>
    <w:rsid w:val="005E7DAC"/>
    <w:rsid w:val="005F1956"/>
    <w:rsid w:val="005F25E0"/>
    <w:rsid w:val="005F292B"/>
    <w:rsid w:val="005F3010"/>
    <w:rsid w:val="005F3127"/>
    <w:rsid w:val="005F6221"/>
    <w:rsid w:val="005F7B43"/>
    <w:rsid w:val="0060119D"/>
    <w:rsid w:val="00607D33"/>
    <w:rsid w:val="00616496"/>
    <w:rsid w:val="00625C21"/>
    <w:rsid w:val="0062717E"/>
    <w:rsid w:val="00630A47"/>
    <w:rsid w:val="0063262F"/>
    <w:rsid w:val="00633EC9"/>
    <w:rsid w:val="00634000"/>
    <w:rsid w:val="00642664"/>
    <w:rsid w:val="00646B64"/>
    <w:rsid w:val="00652981"/>
    <w:rsid w:val="006562F5"/>
    <w:rsid w:val="006617D2"/>
    <w:rsid w:val="0066419C"/>
    <w:rsid w:val="006706FA"/>
    <w:rsid w:val="00670B2B"/>
    <w:rsid w:val="00676118"/>
    <w:rsid w:val="00681E0E"/>
    <w:rsid w:val="006A4D68"/>
    <w:rsid w:val="006B161D"/>
    <w:rsid w:val="006B608E"/>
    <w:rsid w:val="006B74EC"/>
    <w:rsid w:val="006D68ED"/>
    <w:rsid w:val="006E28FB"/>
    <w:rsid w:val="006E2C17"/>
    <w:rsid w:val="006E5926"/>
    <w:rsid w:val="006F2B2F"/>
    <w:rsid w:val="007145A7"/>
    <w:rsid w:val="0071467A"/>
    <w:rsid w:val="00717F4E"/>
    <w:rsid w:val="00734411"/>
    <w:rsid w:val="007415B3"/>
    <w:rsid w:val="007417DF"/>
    <w:rsid w:val="0074190E"/>
    <w:rsid w:val="00757CA1"/>
    <w:rsid w:val="00765993"/>
    <w:rsid w:val="00776C3C"/>
    <w:rsid w:val="0078429E"/>
    <w:rsid w:val="007847FB"/>
    <w:rsid w:val="0078797A"/>
    <w:rsid w:val="00790300"/>
    <w:rsid w:val="007954AD"/>
    <w:rsid w:val="00796C73"/>
    <w:rsid w:val="007A179E"/>
    <w:rsid w:val="007A1E3B"/>
    <w:rsid w:val="007A55A8"/>
    <w:rsid w:val="007A7532"/>
    <w:rsid w:val="007B5797"/>
    <w:rsid w:val="007B68EA"/>
    <w:rsid w:val="007C3E41"/>
    <w:rsid w:val="007C4008"/>
    <w:rsid w:val="007D446B"/>
    <w:rsid w:val="007D777F"/>
    <w:rsid w:val="007E0817"/>
    <w:rsid w:val="007E1026"/>
    <w:rsid w:val="007E5742"/>
    <w:rsid w:val="007E70DD"/>
    <w:rsid w:val="007E7C57"/>
    <w:rsid w:val="007F1A7E"/>
    <w:rsid w:val="007F555A"/>
    <w:rsid w:val="00800480"/>
    <w:rsid w:val="00803B6B"/>
    <w:rsid w:val="00804FBB"/>
    <w:rsid w:val="00805D41"/>
    <w:rsid w:val="00823C66"/>
    <w:rsid w:val="00823F01"/>
    <w:rsid w:val="008241D6"/>
    <w:rsid w:val="008267B0"/>
    <w:rsid w:val="00832BE2"/>
    <w:rsid w:val="00835AB8"/>
    <w:rsid w:val="00841C13"/>
    <w:rsid w:val="008526BD"/>
    <w:rsid w:val="0085390C"/>
    <w:rsid w:val="008668CC"/>
    <w:rsid w:val="008718E4"/>
    <w:rsid w:val="00871A63"/>
    <w:rsid w:val="00881BCD"/>
    <w:rsid w:val="008841C6"/>
    <w:rsid w:val="008878A7"/>
    <w:rsid w:val="008905E0"/>
    <w:rsid w:val="008B0F57"/>
    <w:rsid w:val="008B2898"/>
    <w:rsid w:val="008B295F"/>
    <w:rsid w:val="008B2A33"/>
    <w:rsid w:val="008B3099"/>
    <w:rsid w:val="008B35A3"/>
    <w:rsid w:val="008B42A7"/>
    <w:rsid w:val="008B51E6"/>
    <w:rsid w:val="008C1DDD"/>
    <w:rsid w:val="008D051F"/>
    <w:rsid w:val="008D3C0E"/>
    <w:rsid w:val="008D7A9D"/>
    <w:rsid w:val="008E1278"/>
    <w:rsid w:val="008E42BC"/>
    <w:rsid w:val="008E52A8"/>
    <w:rsid w:val="008F0E3E"/>
    <w:rsid w:val="00906909"/>
    <w:rsid w:val="00906AE0"/>
    <w:rsid w:val="00906BCE"/>
    <w:rsid w:val="00913E56"/>
    <w:rsid w:val="0091695B"/>
    <w:rsid w:val="00922E3A"/>
    <w:rsid w:val="0092470D"/>
    <w:rsid w:val="0094543C"/>
    <w:rsid w:val="009477EC"/>
    <w:rsid w:val="00960036"/>
    <w:rsid w:val="009632D8"/>
    <w:rsid w:val="00964D00"/>
    <w:rsid w:val="00970256"/>
    <w:rsid w:val="00973680"/>
    <w:rsid w:val="00975141"/>
    <w:rsid w:val="00980CB8"/>
    <w:rsid w:val="009819D5"/>
    <w:rsid w:val="009838BB"/>
    <w:rsid w:val="009878AD"/>
    <w:rsid w:val="00991248"/>
    <w:rsid w:val="009913D0"/>
    <w:rsid w:val="00991B9E"/>
    <w:rsid w:val="009932B7"/>
    <w:rsid w:val="009A745B"/>
    <w:rsid w:val="009B44DA"/>
    <w:rsid w:val="009C1B8A"/>
    <w:rsid w:val="009C34D3"/>
    <w:rsid w:val="009D137D"/>
    <w:rsid w:val="009D17D4"/>
    <w:rsid w:val="009D499F"/>
    <w:rsid w:val="009F0C75"/>
    <w:rsid w:val="00A0090A"/>
    <w:rsid w:val="00A0289A"/>
    <w:rsid w:val="00A0402A"/>
    <w:rsid w:val="00A064B1"/>
    <w:rsid w:val="00A119FA"/>
    <w:rsid w:val="00A347CC"/>
    <w:rsid w:val="00A3661F"/>
    <w:rsid w:val="00A4070F"/>
    <w:rsid w:val="00A44014"/>
    <w:rsid w:val="00A46FB7"/>
    <w:rsid w:val="00A47230"/>
    <w:rsid w:val="00A5177B"/>
    <w:rsid w:val="00A52268"/>
    <w:rsid w:val="00A570D6"/>
    <w:rsid w:val="00A61AED"/>
    <w:rsid w:val="00A62A8A"/>
    <w:rsid w:val="00A637E3"/>
    <w:rsid w:val="00A75F26"/>
    <w:rsid w:val="00A76831"/>
    <w:rsid w:val="00A82036"/>
    <w:rsid w:val="00A8204F"/>
    <w:rsid w:val="00A84C32"/>
    <w:rsid w:val="00A86A06"/>
    <w:rsid w:val="00A92B0C"/>
    <w:rsid w:val="00A94D79"/>
    <w:rsid w:val="00A95FBD"/>
    <w:rsid w:val="00AA0004"/>
    <w:rsid w:val="00AA0B61"/>
    <w:rsid w:val="00AA457E"/>
    <w:rsid w:val="00AA5297"/>
    <w:rsid w:val="00AA6761"/>
    <w:rsid w:val="00AB4591"/>
    <w:rsid w:val="00AB5115"/>
    <w:rsid w:val="00AC14EF"/>
    <w:rsid w:val="00AC226C"/>
    <w:rsid w:val="00AC3417"/>
    <w:rsid w:val="00AD5330"/>
    <w:rsid w:val="00AD6A35"/>
    <w:rsid w:val="00AE254C"/>
    <w:rsid w:val="00AE70FF"/>
    <w:rsid w:val="00AE7117"/>
    <w:rsid w:val="00AF19FF"/>
    <w:rsid w:val="00AF1C8E"/>
    <w:rsid w:val="00AF5D77"/>
    <w:rsid w:val="00AF728B"/>
    <w:rsid w:val="00B01150"/>
    <w:rsid w:val="00B059CE"/>
    <w:rsid w:val="00B06B90"/>
    <w:rsid w:val="00B074C4"/>
    <w:rsid w:val="00B07C19"/>
    <w:rsid w:val="00B12ADA"/>
    <w:rsid w:val="00B178E9"/>
    <w:rsid w:val="00B2084D"/>
    <w:rsid w:val="00B23694"/>
    <w:rsid w:val="00B25091"/>
    <w:rsid w:val="00B27574"/>
    <w:rsid w:val="00B37860"/>
    <w:rsid w:val="00B43E96"/>
    <w:rsid w:val="00B5236E"/>
    <w:rsid w:val="00B57E36"/>
    <w:rsid w:val="00B7153A"/>
    <w:rsid w:val="00B72F4D"/>
    <w:rsid w:val="00B762CF"/>
    <w:rsid w:val="00B96DDE"/>
    <w:rsid w:val="00BA22B7"/>
    <w:rsid w:val="00BB49AA"/>
    <w:rsid w:val="00BB4E48"/>
    <w:rsid w:val="00BB63D2"/>
    <w:rsid w:val="00BB666E"/>
    <w:rsid w:val="00BC1049"/>
    <w:rsid w:val="00BC2C3D"/>
    <w:rsid w:val="00BC59A4"/>
    <w:rsid w:val="00BC5DE0"/>
    <w:rsid w:val="00BE56FA"/>
    <w:rsid w:val="00BE61FF"/>
    <w:rsid w:val="00C01EC3"/>
    <w:rsid w:val="00C07F97"/>
    <w:rsid w:val="00C12FDF"/>
    <w:rsid w:val="00C1766A"/>
    <w:rsid w:val="00C30EC3"/>
    <w:rsid w:val="00C31005"/>
    <w:rsid w:val="00C32A43"/>
    <w:rsid w:val="00C377DD"/>
    <w:rsid w:val="00C45991"/>
    <w:rsid w:val="00C511C3"/>
    <w:rsid w:val="00C55BF4"/>
    <w:rsid w:val="00C6392E"/>
    <w:rsid w:val="00C72BAD"/>
    <w:rsid w:val="00C7796A"/>
    <w:rsid w:val="00C81CDA"/>
    <w:rsid w:val="00C87A4E"/>
    <w:rsid w:val="00C978B8"/>
    <w:rsid w:val="00CA1E82"/>
    <w:rsid w:val="00CC02BF"/>
    <w:rsid w:val="00CC161A"/>
    <w:rsid w:val="00CC1E18"/>
    <w:rsid w:val="00CC315C"/>
    <w:rsid w:val="00CF1834"/>
    <w:rsid w:val="00CF3319"/>
    <w:rsid w:val="00CF514C"/>
    <w:rsid w:val="00CF7038"/>
    <w:rsid w:val="00D06CF3"/>
    <w:rsid w:val="00D121E1"/>
    <w:rsid w:val="00D14661"/>
    <w:rsid w:val="00D40E1D"/>
    <w:rsid w:val="00D45DC9"/>
    <w:rsid w:val="00D50ED5"/>
    <w:rsid w:val="00D57C70"/>
    <w:rsid w:val="00D66E4A"/>
    <w:rsid w:val="00D673F4"/>
    <w:rsid w:val="00D73070"/>
    <w:rsid w:val="00D73172"/>
    <w:rsid w:val="00D74096"/>
    <w:rsid w:val="00D77F8D"/>
    <w:rsid w:val="00D813E8"/>
    <w:rsid w:val="00D90CC3"/>
    <w:rsid w:val="00D96B87"/>
    <w:rsid w:val="00DA417B"/>
    <w:rsid w:val="00DA53D3"/>
    <w:rsid w:val="00DA7185"/>
    <w:rsid w:val="00DA7BB3"/>
    <w:rsid w:val="00DB3B06"/>
    <w:rsid w:val="00DB5E3E"/>
    <w:rsid w:val="00DB73BE"/>
    <w:rsid w:val="00DC636A"/>
    <w:rsid w:val="00DC74A3"/>
    <w:rsid w:val="00DD2157"/>
    <w:rsid w:val="00DD31CF"/>
    <w:rsid w:val="00DD770B"/>
    <w:rsid w:val="00DE0231"/>
    <w:rsid w:val="00DE687A"/>
    <w:rsid w:val="00DF0A9C"/>
    <w:rsid w:val="00DF18E0"/>
    <w:rsid w:val="00DF42E1"/>
    <w:rsid w:val="00E0489D"/>
    <w:rsid w:val="00E14E04"/>
    <w:rsid w:val="00E14E66"/>
    <w:rsid w:val="00E167C0"/>
    <w:rsid w:val="00E2040E"/>
    <w:rsid w:val="00E2418D"/>
    <w:rsid w:val="00E2551B"/>
    <w:rsid w:val="00E278E6"/>
    <w:rsid w:val="00E304A5"/>
    <w:rsid w:val="00E33783"/>
    <w:rsid w:val="00E337C6"/>
    <w:rsid w:val="00E33ED8"/>
    <w:rsid w:val="00E446CC"/>
    <w:rsid w:val="00E503CE"/>
    <w:rsid w:val="00E558C1"/>
    <w:rsid w:val="00E563DD"/>
    <w:rsid w:val="00E6571F"/>
    <w:rsid w:val="00E741F2"/>
    <w:rsid w:val="00E77408"/>
    <w:rsid w:val="00E90E3B"/>
    <w:rsid w:val="00E92834"/>
    <w:rsid w:val="00E93D9B"/>
    <w:rsid w:val="00EA0AC2"/>
    <w:rsid w:val="00EA1990"/>
    <w:rsid w:val="00EA4271"/>
    <w:rsid w:val="00EA52F3"/>
    <w:rsid w:val="00EA59C0"/>
    <w:rsid w:val="00EB0D54"/>
    <w:rsid w:val="00EB1760"/>
    <w:rsid w:val="00EB2637"/>
    <w:rsid w:val="00EC3D16"/>
    <w:rsid w:val="00EC6D97"/>
    <w:rsid w:val="00EE05C9"/>
    <w:rsid w:val="00EF3919"/>
    <w:rsid w:val="00EF7E6C"/>
    <w:rsid w:val="00F033F2"/>
    <w:rsid w:val="00F1420D"/>
    <w:rsid w:val="00F33219"/>
    <w:rsid w:val="00F35D1F"/>
    <w:rsid w:val="00F406CD"/>
    <w:rsid w:val="00F4300F"/>
    <w:rsid w:val="00F45303"/>
    <w:rsid w:val="00F508EC"/>
    <w:rsid w:val="00F645BD"/>
    <w:rsid w:val="00F6639E"/>
    <w:rsid w:val="00F77C51"/>
    <w:rsid w:val="00F83947"/>
    <w:rsid w:val="00F876E4"/>
    <w:rsid w:val="00F87F4A"/>
    <w:rsid w:val="00FA1B31"/>
    <w:rsid w:val="00FA38B3"/>
    <w:rsid w:val="00FB3D43"/>
    <w:rsid w:val="00FD0126"/>
    <w:rsid w:val="00FD3216"/>
    <w:rsid w:val="00FD6B2B"/>
    <w:rsid w:val="00FD768C"/>
    <w:rsid w:val="00FE67A8"/>
    <w:rsid w:val="00FF154B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34"/>
    <w:pPr>
      <w:ind w:left="720"/>
      <w:contextualSpacing/>
    </w:pPr>
  </w:style>
  <w:style w:type="paragraph" w:styleId="NoSpacing">
    <w:name w:val="No Spacing"/>
    <w:uiPriority w:val="1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4"/>
    <w:rPr>
      <w:rFonts w:ascii="Times New Roman" w:eastAsia="Times New Roman" w:hAnsi="Times New Roman" w:cs="Times New Roman"/>
      <w:sz w:val="20"/>
      <w:szCs w:val="20"/>
    </w:rPr>
  </w:style>
  <w:style w:type="paragraph" w:customStyle="1" w:styleId="yiv3937605410msonormal">
    <w:name w:val="yiv3937605410msonormal"/>
    <w:basedOn w:val="Normal"/>
    <w:rsid w:val="00E9283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0359325970msonormal">
    <w:name w:val="yiv0359325970msonormal"/>
    <w:basedOn w:val="Normal"/>
    <w:rsid w:val="00263A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B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84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345</cp:revision>
  <cp:lastPrinted>2018-05-01T13:18:00Z</cp:lastPrinted>
  <dcterms:created xsi:type="dcterms:W3CDTF">2016-12-06T15:24:00Z</dcterms:created>
  <dcterms:modified xsi:type="dcterms:W3CDTF">2019-05-29T10:50:00Z</dcterms:modified>
</cp:coreProperties>
</file>